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35A6" w14:textId="0BCF0EA6" w:rsidR="002E04B8" w:rsidRPr="005667EB" w:rsidRDefault="002E04B8" w:rsidP="006623ED">
      <w:pPr>
        <w:spacing w:after="0" w:line="240" w:lineRule="auto"/>
        <w:contextualSpacing/>
        <w:jc w:val="both"/>
        <w:rPr>
          <w:rFonts w:ascii="Times New Roman" w:hAnsi="Times New Roman"/>
          <w:b/>
          <w:color w:val="000000"/>
          <w:sz w:val="24"/>
          <w:szCs w:val="24"/>
        </w:rPr>
      </w:pPr>
      <w:r w:rsidRPr="005667EB">
        <w:rPr>
          <w:rFonts w:ascii="Times New Roman" w:hAnsi="Times New Roman"/>
          <w:b/>
          <w:color w:val="000000"/>
          <w:sz w:val="24"/>
          <w:szCs w:val="24"/>
        </w:rPr>
        <w:t>LAS MASACRES DE SAN FERNANDO, TAMAULIPAS Y ALLENDE, COAHUILA. Lecciones para el Estado mexicano, la sociedad organizada y las víctimas.</w:t>
      </w:r>
    </w:p>
    <w:p w14:paraId="79610C00" w14:textId="6196FE66" w:rsidR="002E04B8" w:rsidRPr="005667EB" w:rsidRDefault="002E04B8" w:rsidP="006623ED">
      <w:pPr>
        <w:spacing w:after="0" w:line="240" w:lineRule="auto"/>
        <w:contextualSpacing/>
        <w:jc w:val="both"/>
        <w:rPr>
          <w:rFonts w:ascii="Times New Roman" w:hAnsi="Times New Roman"/>
          <w:sz w:val="24"/>
          <w:szCs w:val="24"/>
          <w:lang w:val="es-ES_tradnl"/>
        </w:rPr>
      </w:pPr>
      <w:r w:rsidRPr="005667EB">
        <w:rPr>
          <w:rFonts w:ascii="Times New Roman" w:hAnsi="Times New Roman"/>
          <w:color w:val="000000"/>
          <w:sz w:val="24"/>
          <w:szCs w:val="24"/>
        </w:rPr>
        <w:t xml:space="preserve">Propuesta presentada por el Seminario sobre Violencia y Paz </w:t>
      </w:r>
      <w:r w:rsidR="00E40542" w:rsidRPr="005667EB">
        <w:rPr>
          <w:rFonts w:ascii="Times New Roman" w:hAnsi="Times New Roman"/>
          <w:color w:val="000000"/>
          <w:sz w:val="24"/>
          <w:szCs w:val="24"/>
        </w:rPr>
        <w:t xml:space="preserve">(Centro de Estudios Internacionales) </w:t>
      </w:r>
      <w:r w:rsidRPr="005667EB">
        <w:rPr>
          <w:rFonts w:ascii="Times New Roman" w:hAnsi="Times New Roman"/>
          <w:color w:val="000000"/>
          <w:sz w:val="24"/>
          <w:szCs w:val="24"/>
        </w:rPr>
        <w:t xml:space="preserve">de El Colegio de México a la </w:t>
      </w:r>
      <w:r w:rsidRPr="005667EB">
        <w:rPr>
          <w:rFonts w:ascii="Times New Roman" w:hAnsi="Times New Roman"/>
          <w:sz w:val="24"/>
          <w:szCs w:val="24"/>
          <w:lang w:val="es-ES_tradnl"/>
        </w:rPr>
        <w:t xml:space="preserve">Comisión Ejecutiva de Atención a Víctimas (CEAV). </w:t>
      </w:r>
    </w:p>
    <w:p w14:paraId="786731F1" w14:textId="77777777" w:rsidR="00F230A8" w:rsidRPr="005667EB" w:rsidRDefault="00F230A8" w:rsidP="006623ED">
      <w:pPr>
        <w:spacing w:after="0" w:line="480" w:lineRule="auto"/>
        <w:contextualSpacing/>
        <w:rPr>
          <w:rFonts w:ascii="Times New Roman" w:hAnsi="Times New Roman"/>
          <w:sz w:val="24"/>
          <w:szCs w:val="24"/>
          <w:lang w:val="es-ES_tradnl"/>
        </w:rPr>
      </w:pPr>
    </w:p>
    <w:p w14:paraId="606032F9" w14:textId="7FD9CDAA" w:rsidR="002E04B8" w:rsidRPr="005667EB" w:rsidRDefault="002E04B8" w:rsidP="006623ED">
      <w:pPr>
        <w:spacing w:after="0" w:line="480" w:lineRule="auto"/>
        <w:contextualSpacing/>
        <w:rPr>
          <w:rFonts w:ascii="Times New Roman" w:hAnsi="Times New Roman"/>
          <w:color w:val="000000"/>
          <w:sz w:val="24"/>
          <w:szCs w:val="24"/>
        </w:rPr>
      </w:pPr>
      <w:r w:rsidRPr="005667EB">
        <w:rPr>
          <w:rFonts w:ascii="Times New Roman" w:hAnsi="Times New Roman"/>
          <w:sz w:val="24"/>
          <w:szCs w:val="24"/>
          <w:lang w:val="es-ES_tradnl"/>
        </w:rPr>
        <w:tab/>
      </w:r>
      <w:r w:rsidRPr="005667EB">
        <w:rPr>
          <w:rFonts w:ascii="Times New Roman" w:hAnsi="Times New Roman"/>
          <w:sz w:val="24"/>
          <w:szCs w:val="24"/>
          <w:lang w:val="es-ES_tradnl"/>
        </w:rPr>
        <w:tab/>
      </w:r>
      <w:r w:rsidRPr="005667EB">
        <w:rPr>
          <w:rFonts w:ascii="Times New Roman" w:hAnsi="Times New Roman"/>
          <w:sz w:val="24"/>
          <w:szCs w:val="24"/>
          <w:lang w:val="es-ES_tradnl"/>
        </w:rPr>
        <w:tab/>
        <w:t>Coordinador de la investigación: Sergio Aguayo</w:t>
      </w:r>
    </w:p>
    <w:p w14:paraId="712C6B2C" w14:textId="6044BFF2" w:rsidR="004E3E98" w:rsidRPr="005667EB" w:rsidRDefault="0035555A" w:rsidP="005A5E1E">
      <w:pPr>
        <w:spacing w:after="0" w:line="480" w:lineRule="auto"/>
        <w:contextualSpacing/>
        <w:jc w:val="both"/>
        <w:rPr>
          <w:rFonts w:ascii="Times New Roman" w:hAnsi="Times New Roman"/>
          <w:color w:val="000000"/>
          <w:sz w:val="24"/>
          <w:szCs w:val="24"/>
        </w:rPr>
      </w:pPr>
      <w:r w:rsidRPr="005667EB">
        <w:rPr>
          <w:rFonts w:ascii="Times New Roman" w:hAnsi="Times New Roman"/>
          <w:color w:val="000000"/>
          <w:sz w:val="24"/>
          <w:szCs w:val="24"/>
        </w:rPr>
        <w:t xml:space="preserve">En México existe una grave crisis de derechos humanos que </w:t>
      </w:r>
      <w:r w:rsidR="002E04B8" w:rsidRPr="005667EB">
        <w:rPr>
          <w:rFonts w:ascii="Times New Roman" w:hAnsi="Times New Roman"/>
          <w:color w:val="000000"/>
          <w:sz w:val="24"/>
          <w:szCs w:val="24"/>
        </w:rPr>
        <w:t xml:space="preserve">deja </w:t>
      </w:r>
      <w:r w:rsidRPr="005667EB">
        <w:rPr>
          <w:rFonts w:ascii="Times New Roman" w:hAnsi="Times New Roman"/>
          <w:color w:val="000000"/>
          <w:sz w:val="24"/>
          <w:szCs w:val="24"/>
        </w:rPr>
        <w:t xml:space="preserve">a sus habitantes en </w:t>
      </w:r>
      <w:r w:rsidR="002E04B8" w:rsidRPr="005667EB">
        <w:rPr>
          <w:rFonts w:ascii="Times New Roman" w:hAnsi="Times New Roman"/>
          <w:color w:val="000000"/>
          <w:sz w:val="24"/>
          <w:szCs w:val="24"/>
        </w:rPr>
        <w:t xml:space="preserve">la </w:t>
      </w:r>
      <w:r w:rsidRPr="005667EB">
        <w:rPr>
          <w:rFonts w:ascii="Times New Roman" w:hAnsi="Times New Roman"/>
          <w:color w:val="000000"/>
          <w:sz w:val="24"/>
          <w:szCs w:val="24"/>
        </w:rPr>
        <w:t>indefensión. La actividad de grupo</w:t>
      </w:r>
      <w:r w:rsidR="002E04B8" w:rsidRPr="005667EB">
        <w:rPr>
          <w:rFonts w:ascii="Times New Roman" w:hAnsi="Times New Roman"/>
          <w:color w:val="000000"/>
          <w:sz w:val="24"/>
          <w:szCs w:val="24"/>
        </w:rPr>
        <w:t>s de la delincuencia organizada</w:t>
      </w:r>
      <w:r w:rsidRPr="005667EB">
        <w:rPr>
          <w:rFonts w:ascii="Times New Roman" w:hAnsi="Times New Roman"/>
          <w:color w:val="000000"/>
          <w:sz w:val="24"/>
          <w:szCs w:val="24"/>
        </w:rPr>
        <w:t xml:space="preserve"> </w:t>
      </w:r>
      <w:r w:rsidR="002E04B8" w:rsidRPr="005667EB">
        <w:rPr>
          <w:rFonts w:ascii="Times New Roman" w:hAnsi="Times New Roman"/>
          <w:color w:val="000000"/>
          <w:sz w:val="24"/>
          <w:szCs w:val="24"/>
        </w:rPr>
        <w:t>no ha sido frenada</w:t>
      </w:r>
      <w:r w:rsidR="008A7994" w:rsidRPr="005667EB">
        <w:rPr>
          <w:rFonts w:ascii="Times New Roman" w:hAnsi="Times New Roman"/>
          <w:color w:val="000000"/>
          <w:sz w:val="24"/>
          <w:szCs w:val="24"/>
        </w:rPr>
        <w:t xml:space="preserve"> por</w:t>
      </w:r>
      <w:r w:rsidR="002E04B8" w:rsidRPr="005667EB">
        <w:rPr>
          <w:rFonts w:ascii="Times New Roman" w:hAnsi="Times New Roman"/>
          <w:color w:val="000000"/>
          <w:sz w:val="24"/>
          <w:szCs w:val="24"/>
        </w:rPr>
        <w:t xml:space="preserve"> </w:t>
      </w:r>
      <w:r w:rsidRPr="005667EB">
        <w:rPr>
          <w:rFonts w:ascii="Times New Roman" w:hAnsi="Times New Roman"/>
          <w:color w:val="000000"/>
          <w:sz w:val="24"/>
          <w:szCs w:val="24"/>
        </w:rPr>
        <w:t>el Estado mexicano</w:t>
      </w:r>
      <w:r w:rsidR="0034569B" w:rsidRPr="005667EB">
        <w:rPr>
          <w:rFonts w:ascii="Times New Roman" w:hAnsi="Times New Roman"/>
          <w:color w:val="000000"/>
          <w:sz w:val="24"/>
          <w:szCs w:val="24"/>
        </w:rPr>
        <w:t>. A su vez, de forma recurrente se descubre la participación, tolerancia o aquiescencia</w:t>
      </w:r>
      <w:r w:rsidR="00233BC0" w:rsidRPr="005667EB">
        <w:rPr>
          <w:rFonts w:ascii="Times New Roman" w:hAnsi="Times New Roman"/>
          <w:color w:val="000000"/>
          <w:sz w:val="24"/>
          <w:szCs w:val="24"/>
        </w:rPr>
        <w:t xml:space="preserve"> </w:t>
      </w:r>
      <w:r w:rsidR="0034569B" w:rsidRPr="005667EB">
        <w:rPr>
          <w:rFonts w:ascii="Times New Roman" w:hAnsi="Times New Roman"/>
          <w:color w:val="000000"/>
          <w:sz w:val="24"/>
          <w:szCs w:val="24"/>
        </w:rPr>
        <w:t>por parte de agentes del Estado</w:t>
      </w:r>
      <w:r w:rsidR="00AA6E11" w:rsidRPr="005667EB">
        <w:rPr>
          <w:rFonts w:ascii="Times New Roman" w:hAnsi="Times New Roman"/>
          <w:color w:val="000000"/>
          <w:sz w:val="24"/>
          <w:szCs w:val="24"/>
        </w:rPr>
        <w:t xml:space="preserve"> con estos grupos</w:t>
      </w:r>
      <w:r w:rsidRPr="005667EB">
        <w:rPr>
          <w:rFonts w:ascii="Times New Roman" w:hAnsi="Times New Roman"/>
          <w:color w:val="000000"/>
          <w:sz w:val="24"/>
          <w:szCs w:val="24"/>
        </w:rPr>
        <w:t xml:space="preserve">. Los derechos </w:t>
      </w:r>
      <w:r w:rsidR="00867958" w:rsidRPr="005667EB">
        <w:rPr>
          <w:rFonts w:ascii="Times New Roman" w:hAnsi="Times New Roman"/>
          <w:color w:val="000000"/>
          <w:sz w:val="24"/>
          <w:szCs w:val="24"/>
        </w:rPr>
        <w:t>de las víctimas y sus familias</w:t>
      </w:r>
      <w:r w:rsidR="008A7994" w:rsidRPr="005667EB">
        <w:rPr>
          <w:rFonts w:ascii="Times New Roman" w:hAnsi="Times New Roman"/>
          <w:color w:val="000000"/>
          <w:sz w:val="24"/>
          <w:szCs w:val="24"/>
        </w:rPr>
        <w:t xml:space="preserve"> </w:t>
      </w:r>
      <w:r w:rsidRPr="005667EB">
        <w:rPr>
          <w:rFonts w:ascii="Times New Roman" w:hAnsi="Times New Roman"/>
          <w:color w:val="000000"/>
          <w:sz w:val="24"/>
          <w:szCs w:val="24"/>
        </w:rPr>
        <w:t>a</w:t>
      </w:r>
      <w:r w:rsidR="00D2219E" w:rsidRPr="005667EB">
        <w:rPr>
          <w:rFonts w:ascii="Times New Roman" w:hAnsi="Times New Roman"/>
          <w:color w:val="000000"/>
          <w:sz w:val="24"/>
          <w:szCs w:val="24"/>
        </w:rPr>
        <w:t xml:space="preserve"> </w:t>
      </w:r>
      <w:r w:rsidRPr="005667EB">
        <w:rPr>
          <w:rFonts w:ascii="Times New Roman" w:hAnsi="Times New Roman"/>
          <w:color w:val="000000"/>
          <w:sz w:val="24"/>
          <w:szCs w:val="24"/>
        </w:rPr>
        <w:t xml:space="preserve">la justicia, </w:t>
      </w:r>
      <w:r w:rsidR="00867958" w:rsidRPr="005667EB">
        <w:rPr>
          <w:rFonts w:ascii="Times New Roman" w:hAnsi="Times New Roman"/>
          <w:color w:val="000000"/>
          <w:sz w:val="24"/>
          <w:szCs w:val="24"/>
        </w:rPr>
        <w:t xml:space="preserve">la </w:t>
      </w:r>
      <w:r w:rsidRPr="005667EB">
        <w:rPr>
          <w:rFonts w:ascii="Times New Roman" w:hAnsi="Times New Roman"/>
          <w:color w:val="000000"/>
          <w:sz w:val="24"/>
          <w:szCs w:val="24"/>
        </w:rPr>
        <w:t xml:space="preserve">verdad y </w:t>
      </w:r>
      <w:r w:rsidR="002E2BDA" w:rsidRPr="005667EB">
        <w:rPr>
          <w:rFonts w:ascii="Times New Roman" w:hAnsi="Times New Roman"/>
          <w:color w:val="000000"/>
          <w:sz w:val="24"/>
          <w:szCs w:val="24"/>
        </w:rPr>
        <w:t>la reparación</w:t>
      </w:r>
      <w:r w:rsidR="00867958" w:rsidRPr="005667EB">
        <w:rPr>
          <w:rFonts w:ascii="Times New Roman" w:hAnsi="Times New Roman"/>
          <w:color w:val="000000"/>
          <w:sz w:val="24"/>
          <w:szCs w:val="24"/>
        </w:rPr>
        <w:t xml:space="preserve"> </w:t>
      </w:r>
      <w:r w:rsidRPr="005667EB">
        <w:rPr>
          <w:rFonts w:ascii="Times New Roman" w:hAnsi="Times New Roman"/>
          <w:color w:val="000000"/>
          <w:sz w:val="24"/>
          <w:szCs w:val="24"/>
        </w:rPr>
        <w:t xml:space="preserve">no </w:t>
      </w:r>
      <w:r w:rsidR="002E04B8" w:rsidRPr="005667EB">
        <w:rPr>
          <w:rFonts w:ascii="Times New Roman" w:hAnsi="Times New Roman"/>
          <w:color w:val="000000"/>
          <w:sz w:val="24"/>
          <w:szCs w:val="24"/>
        </w:rPr>
        <w:t xml:space="preserve">están </w:t>
      </w:r>
      <w:r w:rsidRPr="005667EB">
        <w:rPr>
          <w:rFonts w:ascii="Times New Roman" w:hAnsi="Times New Roman"/>
          <w:color w:val="000000"/>
          <w:sz w:val="24"/>
          <w:szCs w:val="24"/>
        </w:rPr>
        <w:t>garantizados.</w:t>
      </w:r>
    </w:p>
    <w:p w14:paraId="200FC290" w14:textId="0EE36601" w:rsidR="000C3109" w:rsidRPr="005667EB" w:rsidRDefault="00730CEC" w:rsidP="005A5E1E">
      <w:pPr>
        <w:spacing w:after="0" w:line="480" w:lineRule="auto"/>
        <w:ind w:firstLine="709"/>
        <w:contextualSpacing/>
        <w:jc w:val="both"/>
        <w:rPr>
          <w:rFonts w:ascii="Times New Roman" w:hAnsi="Times New Roman"/>
          <w:color w:val="000000"/>
          <w:sz w:val="24"/>
          <w:szCs w:val="24"/>
        </w:rPr>
      </w:pPr>
      <w:r w:rsidRPr="005667EB">
        <w:rPr>
          <w:rFonts w:ascii="Times New Roman" w:hAnsi="Times New Roman"/>
          <w:color w:val="000000"/>
          <w:sz w:val="24"/>
          <w:szCs w:val="24"/>
        </w:rPr>
        <w:t>Las cifras de homicidios, secuestros</w:t>
      </w:r>
      <w:r w:rsidR="004E3E98" w:rsidRPr="005667EB">
        <w:rPr>
          <w:rFonts w:ascii="Times New Roman" w:hAnsi="Times New Roman"/>
          <w:color w:val="000000"/>
          <w:sz w:val="24"/>
          <w:szCs w:val="24"/>
        </w:rPr>
        <w:t xml:space="preserve">, </w:t>
      </w:r>
      <w:r w:rsidRPr="005667EB">
        <w:rPr>
          <w:rFonts w:ascii="Times New Roman" w:hAnsi="Times New Roman"/>
          <w:color w:val="000000"/>
          <w:sz w:val="24"/>
          <w:szCs w:val="24"/>
        </w:rPr>
        <w:t>desapariciones</w:t>
      </w:r>
      <w:r w:rsidR="004E3E98" w:rsidRPr="005667EB">
        <w:rPr>
          <w:rFonts w:ascii="Times New Roman" w:hAnsi="Times New Roman"/>
          <w:color w:val="000000"/>
          <w:sz w:val="24"/>
          <w:szCs w:val="24"/>
        </w:rPr>
        <w:t xml:space="preserve"> </w:t>
      </w:r>
      <w:r w:rsidRPr="005667EB">
        <w:rPr>
          <w:rFonts w:ascii="Times New Roman" w:hAnsi="Times New Roman"/>
          <w:color w:val="000000"/>
          <w:sz w:val="24"/>
          <w:szCs w:val="24"/>
        </w:rPr>
        <w:t>cometidos entre 2006 y 2014</w:t>
      </w:r>
      <w:r w:rsidR="004E3E98" w:rsidRPr="005667EB">
        <w:rPr>
          <w:rFonts w:ascii="Times New Roman" w:hAnsi="Times New Roman"/>
          <w:color w:val="000000"/>
          <w:sz w:val="24"/>
          <w:szCs w:val="24"/>
        </w:rPr>
        <w:t>, así como el creciente número de solicitudes de asilo de mexicanos en Estados Unidos,</w:t>
      </w:r>
      <w:r w:rsidRPr="005667EB">
        <w:rPr>
          <w:rFonts w:ascii="Times New Roman" w:hAnsi="Times New Roman"/>
          <w:color w:val="000000"/>
          <w:sz w:val="24"/>
          <w:szCs w:val="24"/>
        </w:rPr>
        <w:t xml:space="preserve"> </w:t>
      </w:r>
      <w:r w:rsidR="0034569B" w:rsidRPr="005667EB">
        <w:rPr>
          <w:rFonts w:ascii="Times New Roman" w:hAnsi="Times New Roman"/>
          <w:color w:val="000000"/>
          <w:sz w:val="24"/>
          <w:szCs w:val="24"/>
        </w:rPr>
        <w:t>indican la existencia de un</w:t>
      </w:r>
      <w:r w:rsidR="009654A7" w:rsidRPr="005667EB">
        <w:rPr>
          <w:rFonts w:ascii="Times New Roman" w:hAnsi="Times New Roman"/>
          <w:color w:val="000000"/>
          <w:sz w:val="24"/>
          <w:szCs w:val="24"/>
        </w:rPr>
        <w:t xml:space="preserve"> panorama</w:t>
      </w:r>
      <w:r w:rsidRPr="005667EB">
        <w:rPr>
          <w:rFonts w:ascii="Times New Roman" w:hAnsi="Times New Roman"/>
          <w:color w:val="000000"/>
          <w:sz w:val="24"/>
          <w:szCs w:val="24"/>
        </w:rPr>
        <w:t xml:space="preserve"> c</w:t>
      </w:r>
      <w:r w:rsidR="00C206F1" w:rsidRPr="005667EB">
        <w:rPr>
          <w:rFonts w:ascii="Times New Roman" w:hAnsi="Times New Roman"/>
          <w:color w:val="000000"/>
          <w:sz w:val="24"/>
          <w:szCs w:val="24"/>
        </w:rPr>
        <w:t>ada vez má</w:t>
      </w:r>
      <w:r w:rsidR="009654A7" w:rsidRPr="005667EB">
        <w:rPr>
          <w:rFonts w:ascii="Times New Roman" w:hAnsi="Times New Roman"/>
          <w:color w:val="000000"/>
          <w:sz w:val="24"/>
          <w:szCs w:val="24"/>
        </w:rPr>
        <w:t>s violento</w:t>
      </w:r>
      <w:r w:rsidR="00C206F1" w:rsidRPr="005667EB">
        <w:rPr>
          <w:rFonts w:ascii="Times New Roman" w:hAnsi="Times New Roman"/>
          <w:color w:val="000000"/>
          <w:sz w:val="24"/>
          <w:szCs w:val="24"/>
        </w:rPr>
        <w:t xml:space="preserve"> en México</w:t>
      </w:r>
      <w:r w:rsidR="00D20539" w:rsidRPr="005667EB">
        <w:rPr>
          <w:rFonts w:ascii="Times New Roman" w:hAnsi="Times New Roman"/>
          <w:color w:val="000000"/>
          <w:sz w:val="24"/>
          <w:szCs w:val="24"/>
        </w:rPr>
        <w:t>, que requiere de la atención efectiva del Estado, la comunidad internacional</w:t>
      </w:r>
      <w:r w:rsidR="00F230A8" w:rsidRPr="005667EB">
        <w:rPr>
          <w:rFonts w:ascii="Times New Roman" w:hAnsi="Times New Roman"/>
          <w:color w:val="000000"/>
          <w:sz w:val="24"/>
          <w:szCs w:val="24"/>
        </w:rPr>
        <w:t xml:space="preserve"> y la sociedad civil organizada</w:t>
      </w:r>
      <w:r w:rsidR="004E3E98" w:rsidRPr="005667EB">
        <w:rPr>
          <w:rFonts w:ascii="Times New Roman" w:hAnsi="Times New Roman"/>
          <w:color w:val="000000"/>
          <w:sz w:val="24"/>
          <w:szCs w:val="24"/>
        </w:rPr>
        <w:t>:</w:t>
      </w:r>
    </w:p>
    <w:tbl>
      <w:tblPr>
        <w:tblW w:w="5000" w:type="pct"/>
        <w:jc w:val="center"/>
        <w:tblCellMar>
          <w:left w:w="70" w:type="dxa"/>
          <w:right w:w="70" w:type="dxa"/>
        </w:tblCellMar>
        <w:tblLook w:val="04A0" w:firstRow="1" w:lastRow="0" w:firstColumn="1" w:lastColumn="0" w:noHBand="0" w:noVBand="1"/>
      </w:tblPr>
      <w:tblGrid>
        <w:gridCol w:w="1692"/>
        <w:gridCol w:w="1692"/>
        <w:gridCol w:w="1691"/>
        <w:gridCol w:w="2212"/>
        <w:gridCol w:w="1691"/>
      </w:tblGrid>
      <w:tr w:rsidR="00130D9F" w:rsidRPr="005667EB" w14:paraId="2E51C259" w14:textId="77777777" w:rsidTr="00F230A8">
        <w:trPr>
          <w:trHeight w:val="534"/>
          <w:jc w:val="center"/>
        </w:trPr>
        <w:tc>
          <w:tcPr>
            <w:tcW w:w="942" w:type="pct"/>
            <w:tcBorders>
              <w:top w:val="single" w:sz="8" w:space="0" w:color="auto"/>
              <w:left w:val="single" w:sz="8" w:space="0" w:color="auto"/>
              <w:bottom w:val="single" w:sz="8" w:space="0" w:color="auto"/>
              <w:right w:val="nil"/>
            </w:tcBorders>
            <w:shd w:val="clear" w:color="auto" w:fill="auto"/>
            <w:vAlign w:val="center"/>
            <w:hideMark/>
          </w:tcPr>
          <w:p w14:paraId="3B845DBB" w14:textId="77777777" w:rsidR="00130D9F" w:rsidRPr="005667EB" w:rsidRDefault="00130D9F" w:rsidP="005A5E1E">
            <w:pPr>
              <w:spacing w:after="0" w:line="240" w:lineRule="auto"/>
              <w:contextualSpacing/>
              <w:jc w:val="center"/>
              <w:rPr>
                <w:rFonts w:ascii="Times New Roman" w:eastAsia="Times New Roman" w:hAnsi="Times New Roman"/>
                <w:b/>
                <w:color w:val="000000"/>
                <w:sz w:val="24"/>
                <w:szCs w:val="24"/>
                <w:lang w:val="es-ES_tradnl" w:eastAsia="es-ES"/>
              </w:rPr>
            </w:pPr>
            <w:r w:rsidRPr="005667EB">
              <w:rPr>
                <w:rFonts w:ascii="Times New Roman" w:eastAsia="Times New Roman" w:hAnsi="Times New Roman"/>
                <w:b/>
                <w:color w:val="000000"/>
                <w:sz w:val="24"/>
                <w:szCs w:val="24"/>
                <w:lang w:val="es-ES_tradnl" w:eastAsia="es-ES"/>
              </w:rPr>
              <w:t xml:space="preserve">Año </w:t>
            </w:r>
          </w:p>
        </w:tc>
        <w:tc>
          <w:tcPr>
            <w:tcW w:w="94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0CA8C5" w14:textId="77777777" w:rsidR="00130D9F" w:rsidRPr="005667EB" w:rsidRDefault="00130D9F" w:rsidP="005A5E1E">
            <w:pPr>
              <w:spacing w:after="0" w:line="240" w:lineRule="auto"/>
              <w:contextualSpacing/>
              <w:jc w:val="center"/>
              <w:rPr>
                <w:rFonts w:ascii="Times New Roman" w:eastAsia="Times New Roman" w:hAnsi="Times New Roman"/>
                <w:b/>
                <w:color w:val="000000"/>
                <w:sz w:val="24"/>
                <w:szCs w:val="24"/>
                <w:lang w:val="es-ES_tradnl" w:eastAsia="es-ES"/>
              </w:rPr>
            </w:pPr>
            <w:r w:rsidRPr="005667EB">
              <w:rPr>
                <w:rFonts w:ascii="Times New Roman" w:eastAsia="Times New Roman" w:hAnsi="Times New Roman"/>
                <w:b/>
                <w:color w:val="000000"/>
                <w:sz w:val="24"/>
                <w:szCs w:val="24"/>
                <w:lang w:val="es-ES_tradnl" w:eastAsia="es-ES"/>
              </w:rPr>
              <w:t>Homicidios</w:t>
            </w:r>
          </w:p>
        </w:tc>
        <w:tc>
          <w:tcPr>
            <w:tcW w:w="942" w:type="pct"/>
            <w:tcBorders>
              <w:top w:val="single" w:sz="8" w:space="0" w:color="auto"/>
              <w:left w:val="nil"/>
              <w:bottom w:val="single" w:sz="8" w:space="0" w:color="auto"/>
              <w:right w:val="single" w:sz="8" w:space="0" w:color="auto"/>
            </w:tcBorders>
            <w:shd w:val="clear" w:color="auto" w:fill="auto"/>
            <w:vAlign w:val="center"/>
            <w:hideMark/>
          </w:tcPr>
          <w:p w14:paraId="60B3859A" w14:textId="77777777" w:rsidR="00130D9F" w:rsidRPr="005667EB" w:rsidRDefault="00130D9F" w:rsidP="005A5E1E">
            <w:pPr>
              <w:spacing w:after="0" w:line="240" w:lineRule="auto"/>
              <w:contextualSpacing/>
              <w:jc w:val="center"/>
              <w:rPr>
                <w:rFonts w:ascii="Times New Roman" w:eastAsia="Times New Roman" w:hAnsi="Times New Roman"/>
                <w:b/>
                <w:color w:val="000000"/>
                <w:sz w:val="24"/>
                <w:szCs w:val="24"/>
                <w:lang w:val="es-ES_tradnl" w:eastAsia="es-ES"/>
              </w:rPr>
            </w:pPr>
            <w:r w:rsidRPr="005667EB">
              <w:rPr>
                <w:rFonts w:ascii="Times New Roman" w:eastAsia="Times New Roman" w:hAnsi="Times New Roman"/>
                <w:b/>
                <w:color w:val="000000"/>
                <w:sz w:val="24"/>
                <w:szCs w:val="24"/>
                <w:lang w:val="es-ES_tradnl" w:eastAsia="es-ES"/>
              </w:rPr>
              <w:t>Secuestros</w:t>
            </w:r>
          </w:p>
        </w:tc>
        <w:tc>
          <w:tcPr>
            <w:tcW w:w="1232" w:type="pct"/>
            <w:tcBorders>
              <w:top w:val="single" w:sz="8" w:space="0" w:color="auto"/>
              <w:left w:val="nil"/>
              <w:bottom w:val="single" w:sz="8" w:space="0" w:color="auto"/>
              <w:right w:val="single" w:sz="8" w:space="0" w:color="auto"/>
            </w:tcBorders>
            <w:shd w:val="clear" w:color="auto" w:fill="auto"/>
            <w:vAlign w:val="center"/>
            <w:hideMark/>
          </w:tcPr>
          <w:p w14:paraId="62193E55" w14:textId="77777777" w:rsidR="00130D9F" w:rsidRPr="005667EB" w:rsidRDefault="00130D9F" w:rsidP="005A5E1E">
            <w:pPr>
              <w:spacing w:after="0" w:line="240" w:lineRule="auto"/>
              <w:contextualSpacing/>
              <w:jc w:val="center"/>
              <w:rPr>
                <w:rFonts w:ascii="Times New Roman" w:eastAsia="Times New Roman" w:hAnsi="Times New Roman"/>
                <w:b/>
                <w:color w:val="000000"/>
                <w:sz w:val="24"/>
                <w:szCs w:val="24"/>
                <w:lang w:val="es-ES_tradnl" w:eastAsia="es-ES"/>
              </w:rPr>
            </w:pPr>
            <w:r w:rsidRPr="005667EB">
              <w:rPr>
                <w:rFonts w:ascii="Times New Roman" w:eastAsia="Times New Roman" w:hAnsi="Times New Roman"/>
                <w:b/>
                <w:color w:val="000000"/>
                <w:sz w:val="24"/>
                <w:szCs w:val="24"/>
                <w:lang w:val="es-ES_tradnl" w:eastAsia="es-ES"/>
              </w:rPr>
              <w:t>Desapariciones</w:t>
            </w:r>
          </w:p>
        </w:tc>
        <w:tc>
          <w:tcPr>
            <w:tcW w:w="942" w:type="pct"/>
            <w:tcBorders>
              <w:top w:val="single" w:sz="8" w:space="0" w:color="auto"/>
              <w:left w:val="nil"/>
              <w:bottom w:val="single" w:sz="8" w:space="0" w:color="auto"/>
              <w:right w:val="single" w:sz="8" w:space="0" w:color="auto"/>
            </w:tcBorders>
            <w:shd w:val="clear" w:color="auto" w:fill="auto"/>
            <w:vAlign w:val="center"/>
            <w:hideMark/>
          </w:tcPr>
          <w:p w14:paraId="7D793777" w14:textId="77777777" w:rsidR="00130D9F" w:rsidRPr="005667EB" w:rsidRDefault="00130D9F" w:rsidP="005A5E1E">
            <w:pPr>
              <w:spacing w:after="0" w:line="240" w:lineRule="auto"/>
              <w:contextualSpacing/>
              <w:jc w:val="center"/>
              <w:rPr>
                <w:rFonts w:ascii="Times New Roman" w:eastAsia="Times New Roman" w:hAnsi="Times New Roman"/>
                <w:b/>
                <w:color w:val="000000"/>
                <w:sz w:val="24"/>
                <w:szCs w:val="24"/>
                <w:lang w:val="es-ES_tradnl" w:eastAsia="es-ES"/>
              </w:rPr>
            </w:pPr>
            <w:r w:rsidRPr="005667EB">
              <w:rPr>
                <w:rFonts w:ascii="Times New Roman" w:eastAsia="Times New Roman" w:hAnsi="Times New Roman"/>
                <w:b/>
                <w:color w:val="000000"/>
                <w:sz w:val="24"/>
                <w:szCs w:val="24"/>
                <w:lang w:val="es-ES_tradnl" w:eastAsia="es-ES"/>
              </w:rPr>
              <w:t>Solicitudes de asilo de mexicanos en EUA</w:t>
            </w:r>
          </w:p>
        </w:tc>
      </w:tr>
      <w:tr w:rsidR="00130D9F" w:rsidRPr="005667EB" w14:paraId="4DFEB8F4" w14:textId="77777777" w:rsidTr="00F230A8">
        <w:trPr>
          <w:trHeight w:val="248"/>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11999C63"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2006</w:t>
            </w:r>
          </w:p>
        </w:tc>
        <w:tc>
          <w:tcPr>
            <w:tcW w:w="942" w:type="pct"/>
            <w:tcBorders>
              <w:top w:val="nil"/>
              <w:left w:val="nil"/>
              <w:bottom w:val="single" w:sz="8" w:space="0" w:color="auto"/>
              <w:right w:val="single" w:sz="8" w:space="0" w:color="auto"/>
            </w:tcBorders>
            <w:shd w:val="clear" w:color="auto" w:fill="auto"/>
            <w:vAlign w:val="center"/>
            <w:hideMark/>
          </w:tcPr>
          <w:p w14:paraId="4D11437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10,452</w:t>
            </w:r>
          </w:p>
        </w:tc>
        <w:tc>
          <w:tcPr>
            <w:tcW w:w="942" w:type="pct"/>
            <w:tcBorders>
              <w:top w:val="nil"/>
              <w:left w:val="nil"/>
              <w:bottom w:val="single" w:sz="8" w:space="0" w:color="auto"/>
              <w:right w:val="single" w:sz="8" w:space="0" w:color="auto"/>
            </w:tcBorders>
            <w:shd w:val="clear" w:color="auto" w:fill="auto"/>
            <w:vAlign w:val="center"/>
            <w:hideMark/>
          </w:tcPr>
          <w:p w14:paraId="2A55898A"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733</w:t>
            </w:r>
          </w:p>
        </w:tc>
        <w:tc>
          <w:tcPr>
            <w:tcW w:w="1232" w:type="pct"/>
            <w:tcBorders>
              <w:top w:val="nil"/>
              <w:left w:val="nil"/>
              <w:bottom w:val="single" w:sz="8" w:space="0" w:color="auto"/>
              <w:right w:val="single" w:sz="8" w:space="0" w:color="auto"/>
            </w:tcBorders>
            <w:shd w:val="clear" w:color="auto" w:fill="auto"/>
            <w:vAlign w:val="center"/>
            <w:hideMark/>
          </w:tcPr>
          <w:p w14:paraId="2E8A4927"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208</w:t>
            </w:r>
          </w:p>
        </w:tc>
        <w:tc>
          <w:tcPr>
            <w:tcW w:w="942" w:type="pct"/>
            <w:tcBorders>
              <w:top w:val="nil"/>
              <w:left w:val="nil"/>
              <w:bottom w:val="single" w:sz="8" w:space="0" w:color="auto"/>
              <w:right w:val="single" w:sz="8" w:space="0" w:color="auto"/>
            </w:tcBorders>
            <w:shd w:val="clear" w:color="auto" w:fill="auto"/>
            <w:vAlign w:val="center"/>
            <w:hideMark/>
          </w:tcPr>
          <w:p w14:paraId="0A2524BA"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2,641</w:t>
            </w:r>
          </w:p>
        </w:tc>
      </w:tr>
      <w:tr w:rsidR="00130D9F" w:rsidRPr="005667EB" w14:paraId="73067D68" w14:textId="77777777" w:rsidTr="00F230A8">
        <w:trPr>
          <w:trHeight w:val="252"/>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400A4A1F"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2007</w:t>
            </w:r>
          </w:p>
        </w:tc>
        <w:tc>
          <w:tcPr>
            <w:tcW w:w="942" w:type="pct"/>
            <w:tcBorders>
              <w:top w:val="nil"/>
              <w:left w:val="nil"/>
              <w:bottom w:val="single" w:sz="8" w:space="0" w:color="auto"/>
              <w:right w:val="single" w:sz="8" w:space="0" w:color="auto"/>
            </w:tcBorders>
            <w:shd w:val="clear" w:color="auto" w:fill="auto"/>
            <w:vAlign w:val="center"/>
            <w:hideMark/>
          </w:tcPr>
          <w:p w14:paraId="65CA6D2A"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8,867</w:t>
            </w:r>
          </w:p>
        </w:tc>
        <w:tc>
          <w:tcPr>
            <w:tcW w:w="942" w:type="pct"/>
            <w:tcBorders>
              <w:top w:val="nil"/>
              <w:left w:val="nil"/>
              <w:bottom w:val="single" w:sz="8" w:space="0" w:color="auto"/>
              <w:right w:val="single" w:sz="8" w:space="0" w:color="auto"/>
            </w:tcBorders>
            <w:shd w:val="clear" w:color="auto" w:fill="auto"/>
            <w:vAlign w:val="center"/>
            <w:hideMark/>
          </w:tcPr>
          <w:p w14:paraId="21CABF4C"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438</w:t>
            </w:r>
          </w:p>
        </w:tc>
        <w:tc>
          <w:tcPr>
            <w:tcW w:w="1232" w:type="pct"/>
            <w:tcBorders>
              <w:top w:val="nil"/>
              <w:left w:val="nil"/>
              <w:bottom w:val="single" w:sz="8" w:space="0" w:color="auto"/>
              <w:right w:val="single" w:sz="8" w:space="0" w:color="auto"/>
            </w:tcBorders>
            <w:shd w:val="clear" w:color="auto" w:fill="auto"/>
            <w:vAlign w:val="center"/>
            <w:hideMark/>
          </w:tcPr>
          <w:p w14:paraId="7A1994AE"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749</w:t>
            </w:r>
          </w:p>
        </w:tc>
        <w:tc>
          <w:tcPr>
            <w:tcW w:w="942" w:type="pct"/>
            <w:tcBorders>
              <w:top w:val="nil"/>
              <w:left w:val="nil"/>
              <w:bottom w:val="single" w:sz="8" w:space="0" w:color="auto"/>
              <w:right w:val="single" w:sz="8" w:space="0" w:color="auto"/>
            </w:tcBorders>
            <w:shd w:val="clear" w:color="auto" w:fill="auto"/>
            <w:vAlign w:val="center"/>
            <w:hideMark/>
          </w:tcPr>
          <w:p w14:paraId="4269E1C1"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2,963</w:t>
            </w:r>
          </w:p>
        </w:tc>
      </w:tr>
      <w:tr w:rsidR="00130D9F" w:rsidRPr="005667EB" w14:paraId="16A086A6" w14:textId="77777777" w:rsidTr="00F230A8">
        <w:trPr>
          <w:trHeight w:val="270"/>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5B05E5E2"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2008</w:t>
            </w:r>
          </w:p>
        </w:tc>
        <w:tc>
          <w:tcPr>
            <w:tcW w:w="942" w:type="pct"/>
            <w:tcBorders>
              <w:top w:val="nil"/>
              <w:left w:val="nil"/>
              <w:bottom w:val="single" w:sz="8" w:space="0" w:color="auto"/>
              <w:right w:val="single" w:sz="8" w:space="0" w:color="auto"/>
            </w:tcBorders>
            <w:shd w:val="clear" w:color="auto" w:fill="auto"/>
            <w:vAlign w:val="center"/>
            <w:hideMark/>
          </w:tcPr>
          <w:p w14:paraId="0C50E68C"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14,006</w:t>
            </w:r>
          </w:p>
        </w:tc>
        <w:tc>
          <w:tcPr>
            <w:tcW w:w="942" w:type="pct"/>
            <w:tcBorders>
              <w:top w:val="nil"/>
              <w:left w:val="nil"/>
              <w:bottom w:val="single" w:sz="8" w:space="0" w:color="auto"/>
              <w:right w:val="single" w:sz="8" w:space="0" w:color="auto"/>
            </w:tcBorders>
            <w:shd w:val="clear" w:color="auto" w:fill="auto"/>
            <w:vAlign w:val="center"/>
            <w:hideMark/>
          </w:tcPr>
          <w:p w14:paraId="16A93B5D"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907</w:t>
            </w:r>
          </w:p>
        </w:tc>
        <w:tc>
          <w:tcPr>
            <w:tcW w:w="1232" w:type="pct"/>
            <w:tcBorders>
              <w:top w:val="nil"/>
              <w:left w:val="nil"/>
              <w:bottom w:val="single" w:sz="8" w:space="0" w:color="auto"/>
              <w:right w:val="single" w:sz="8" w:space="0" w:color="auto"/>
            </w:tcBorders>
            <w:shd w:val="clear" w:color="auto" w:fill="auto"/>
            <w:vAlign w:val="center"/>
            <w:hideMark/>
          </w:tcPr>
          <w:p w14:paraId="75572298"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862</w:t>
            </w:r>
          </w:p>
        </w:tc>
        <w:tc>
          <w:tcPr>
            <w:tcW w:w="942" w:type="pct"/>
            <w:tcBorders>
              <w:top w:val="nil"/>
              <w:left w:val="nil"/>
              <w:bottom w:val="single" w:sz="8" w:space="0" w:color="auto"/>
              <w:right w:val="single" w:sz="8" w:space="0" w:color="auto"/>
            </w:tcBorders>
            <w:shd w:val="clear" w:color="auto" w:fill="auto"/>
            <w:vAlign w:val="center"/>
            <w:hideMark/>
          </w:tcPr>
          <w:p w14:paraId="2AD709D2"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3,229</w:t>
            </w:r>
          </w:p>
        </w:tc>
      </w:tr>
      <w:tr w:rsidR="00130D9F" w:rsidRPr="005667EB" w14:paraId="669C787C" w14:textId="77777777" w:rsidTr="00F230A8">
        <w:trPr>
          <w:trHeight w:val="260"/>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275A3B1D"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2009</w:t>
            </w:r>
          </w:p>
        </w:tc>
        <w:tc>
          <w:tcPr>
            <w:tcW w:w="942" w:type="pct"/>
            <w:tcBorders>
              <w:top w:val="nil"/>
              <w:left w:val="nil"/>
              <w:bottom w:val="single" w:sz="8" w:space="0" w:color="auto"/>
              <w:right w:val="single" w:sz="8" w:space="0" w:color="auto"/>
            </w:tcBorders>
            <w:shd w:val="clear" w:color="auto" w:fill="auto"/>
            <w:vAlign w:val="center"/>
            <w:hideMark/>
          </w:tcPr>
          <w:p w14:paraId="4B9A92D6"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19,803</w:t>
            </w:r>
          </w:p>
        </w:tc>
        <w:tc>
          <w:tcPr>
            <w:tcW w:w="942" w:type="pct"/>
            <w:tcBorders>
              <w:top w:val="nil"/>
              <w:left w:val="nil"/>
              <w:bottom w:val="single" w:sz="8" w:space="0" w:color="auto"/>
              <w:right w:val="single" w:sz="8" w:space="0" w:color="auto"/>
            </w:tcBorders>
            <w:shd w:val="clear" w:color="auto" w:fill="auto"/>
            <w:vAlign w:val="center"/>
            <w:hideMark/>
          </w:tcPr>
          <w:p w14:paraId="04000AA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1,162</w:t>
            </w:r>
          </w:p>
        </w:tc>
        <w:tc>
          <w:tcPr>
            <w:tcW w:w="1232" w:type="pct"/>
            <w:tcBorders>
              <w:top w:val="nil"/>
              <w:left w:val="nil"/>
              <w:bottom w:val="single" w:sz="8" w:space="0" w:color="auto"/>
              <w:right w:val="single" w:sz="8" w:space="0" w:color="auto"/>
            </w:tcBorders>
            <w:shd w:val="clear" w:color="auto" w:fill="auto"/>
            <w:vAlign w:val="center"/>
            <w:hideMark/>
          </w:tcPr>
          <w:p w14:paraId="10A4E277"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1,338</w:t>
            </w:r>
          </w:p>
        </w:tc>
        <w:tc>
          <w:tcPr>
            <w:tcW w:w="942" w:type="pct"/>
            <w:tcBorders>
              <w:top w:val="nil"/>
              <w:left w:val="nil"/>
              <w:bottom w:val="single" w:sz="8" w:space="0" w:color="auto"/>
              <w:right w:val="single" w:sz="8" w:space="0" w:color="auto"/>
            </w:tcBorders>
            <w:shd w:val="clear" w:color="auto" w:fill="auto"/>
            <w:vAlign w:val="center"/>
            <w:hideMark/>
          </w:tcPr>
          <w:p w14:paraId="20909B2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2,816</w:t>
            </w:r>
          </w:p>
        </w:tc>
      </w:tr>
      <w:tr w:rsidR="00130D9F" w:rsidRPr="005667EB" w14:paraId="625707E4" w14:textId="77777777" w:rsidTr="00F230A8">
        <w:trPr>
          <w:trHeight w:val="264"/>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1BC72708"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2010</w:t>
            </w:r>
          </w:p>
        </w:tc>
        <w:tc>
          <w:tcPr>
            <w:tcW w:w="942" w:type="pct"/>
            <w:tcBorders>
              <w:top w:val="nil"/>
              <w:left w:val="nil"/>
              <w:bottom w:val="single" w:sz="8" w:space="0" w:color="auto"/>
              <w:right w:val="single" w:sz="8" w:space="0" w:color="auto"/>
            </w:tcBorders>
            <w:shd w:val="clear" w:color="auto" w:fill="auto"/>
            <w:vAlign w:val="center"/>
            <w:hideMark/>
          </w:tcPr>
          <w:p w14:paraId="42312CA8"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25,757</w:t>
            </w:r>
          </w:p>
        </w:tc>
        <w:tc>
          <w:tcPr>
            <w:tcW w:w="942" w:type="pct"/>
            <w:tcBorders>
              <w:top w:val="nil"/>
              <w:left w:val="nil"/>
              <w:bottom w:val="single" w:sz="8" w:space="0" w:color="auto"/>
              <w:right w:val="single" w:sz="8" w:space="0" w:color="auto"/>
            </w:tcBorders>
            <w:shd w:val="clear" w:color="auto" w:fill="auto"/>
            <w:vAlign w:val="center"/>
            <w:hideMark/>
          </w:tcPr>
          <w:p w14:paraId="738AFF32"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1,222</w:t>
            </w:r>
          </w:p>
        </w:tc>
        <w:tc>
          <w:tcPr>
            <w:tcW w:w="1232" w:type="pct"/>
            <w:tcBorders>
              <w:top w:val="nil"/>
              <w:left w:val="nil"/>
              <w:bottom w:val="single" w:sz="8" w:space="0" w:color="auto"/>
              <w:right w:val="single" w:sz="8" w:space="0" w:color="auto"/>
            </w:tcBorders>
            <w:shd w:val="clear" w:color="auto" w:fill="auto"/>
            <w:vAlign w:val="center"/>
            <w:hideMark/>
          </w:tcPr>
          <w:p w14:paraId="366D1D05"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2,739</w:t>
            </w:r>
          </w:p>
        </w:tc>
        <w:tc>
          <w:tcPr>
            <w:tcW w:w="942" w:type="pct"/>
            <w:tcBorders>
              <w:top w:val="nil"/>
              <w:left w:val="nil"/>
              <w:bottom w:val="single" w:sz="8" w:space="0" w:color="auto"/>
              <w:right w:val="single" w:sz="8" w:space="0" w:color="auto"/>
            </w:tcBorders>
            <w:shd w:val="clear" w:color="auto" w:fill="auto"/>
            <w:vAlign w:val="center"/>
            <w:hideMark/>
          </w:tcPr>
          <w:p w14:paraId="12FF2C66"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3,996</w:t>
            </w:r>
          </w:p>
        </w:tc>
      </w:tr>
      <w:tr w:rsidR="00130D9F" w:rsidRPr="005667EB" w14:paraId="7E85AD30" w14:textId="77777777" w:rsidTr="00F230A8">
        <w:trPr>
          <w:trHeight w:val="254"/>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3FD69091"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2011</w:t>
            </w:r>
          </w:p>
        </w:tc>
        <w:tc>
          <w:tcPr>
            <w:tcW w:w="942" w:type="pct"/>
            <w:tcBorders>
              <w:top w:val="nil"/>
              <w:left w:val="nil"/>
              <w:bottom w:val="single" w:sz="8" w:space="0" w:color="auto"/>
              <w:right w:val="single" w:sz="8" w:space="0" w:color="auto"/>
            </w:tcBorders>
            <w:shd w:val="clear" w:color="auto" w:fill="auto"/>
            <w:vAlign w:val="center"/>
            <w:hideMark/>
          </w:tcPr>
          <w:p w14:paraId="2574E33E"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27,213</w:t>
            </w:r>
          </w:p>
        </w:tc>
        <w:tc>
          <w:tcPr>
            <w:tcW w:w="942" w:type="pct"/>
            <w:tcBorders>
              <w:top w:val="nil"/>
              <w:left w:val="nil"/>
              <w:bottom w:val="single" w:sz="8" w:space="0" w:color="auto"/>
              <w:right w:val="single" w:sz="8" w:space="0" w:color="auto"/>
            </w:tcBorders>
            <w:shd w:val="clear" w:color="auto" w:fill="auto"/>
            <w:vAlign w:val="center"/>
            <w:hideMark/>
          </w:tcPr>
          <w:p w14:paraId="103E8FD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1,432</w:t>
            </w:r>
          </w:p>
        </w:tc>
        <w:tc>
          <w:tcPr>
            <w:tcW w:w="1232" w:type="pct"/>
            <w:tcBorders>
              <w:top w:val="nil"/>
              <w:left w:val="nil"/>
              <w:bottom w:val="single" w:sz="8" w:space="0" w:color="auto"/>
              <w:right w:val="single" w:sz="8" w:space="0" w:color="auto"/>
            </w:tcBorders>
            <w:shd w:val="clear" w:color="auto" w:fill="auto"/>
            <w:vAlign w:val="center"/>
            <w:hideMark/>
          </w:tcPr>
          <w:p w14:paraId="4B20645F"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3,957</w:t>
            </w:r>
          </w:p>
        </w:tc>
        <w:tc>
          <w:tcPr>
            <w:tcW w:w="942" w:type="pct"/>
            <w:tcBorders>
              <w:top w:val="nil"/>
              <w:left w:val="nil"/>
              <w:bottom w:val="single" w:sz="8" w:space="0" w:color="auto"/>
              <w:right w:val="single" w:sz="8" w:space="0" w:color="auto"/>
            </w:tcBorders>
            <w:shd w:val="clear" w:color="auto" w:fill="auto"/>
            <w:vAlign w:val="center"/>
            <w:hideMark/>
          </w:tcPr>
          <w:p w14:paraId="34B77EBB"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7,432</w:t>
            </w:r>
          </w:p>
        </w:tc>
      </w:tr>
      <w:tr w:rsidR="00130D9F" w:rsidRPr="005667EB" w14:paraId="25163F3E" w14:textId="77777777" w:rsidTr="00F230A8">
        <w:trPr>
          <w:trHeight w:val="272"/>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695201CC"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2012</w:t>
            </w:r>
          </w:p>
        </w:tc>
        <w:tc>
          <w:tcPr>
            <w:tcW w:w="942" w:type="pct"/>
            <w:tcBorders>
              <w:top w:val="nil"/>
              <w:left w:val="nil"/>
              <w:bottom w:val="single" w:sz="8" w:space="0" w:color="auto"/>
              <w:right w:val="single" w:sz="8" w:space="0" w:color="auto"/>
            </w:tcBorders>
            <w:shd w:val="clear" w:color="auto" w:fill="auto"/>
            <w:vAlign w:val="center"/>
            <w:hideMark/>
          </w:tcPr>
          <w:p w14:paraId="0A1BD697"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25,967</w:t>
            </w:r>
          </w:p>
        </w:tc>
        <w:tc>
          <w:tcPr>
            <w:tcW w:w="942" w:type="pct"/>
            <w:tcBorders>
              <w:top w:val="nil"/>
              <w:left w:val="nil"/>
              <w:bottom w:val="single" w:sz="8" w:space="0" w:color="auto"/>
              <w:right w:val="single" w:sz="8" w:space="0" w:color="auto"/>
            </w:tcBorders>
            <w:shd w:val="clear" w:color="auto" w:fill="auto"/>
            <w:vAlign w:val="center"/>
            <w:hideMark/>
          </w:tcPr>
          <w:p w14:paraId="69040C69"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1,418</w:t>
            </w:r>
          </w:p>
        </w:tc>
        <w:tc>
          <w:tcPr>
            <w:tcW w:w="1232" w:type="pct"/>
            <w:tcBorders>
              <w:top w:val="nil"/>
              <w:left w:val="nil"/>
              <w:bottom w:val="single" w:sz="8" w:space="0" w:color="auto"/>
              <w:right w:val="single" w:sz="8" w:space="0" w:color="auto"/>
            </w:tcBorders>
            <w:shd w:val="clear" w:color="auto" w:fill="auto"/>
            <w:vAlign w:val="center"/>
            <w:hideMark/>
          </w:tcPr>
          <w:p w14:paraId="5B5D02C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3,353</w:t>
            </w:r>
          </w:p>
        </w:tc>
        <w:tc>
          <w:tcPr>
            <w:tcW w:w="942" w:type="pct"/>
            <w:tcBorders>
              <w:top w:val="nil"/>
              <w:left w:val="nil"/>
              <w:bottom w:val="single" w:sz="8" w:space="0" w:color="auto"/>
              <w:right w:val="single" w:sz="8" w:space="0" w:color="auto"/>
            </w:tcBorders>
            <w:shd w:val="clear" w:color="auto" w:fill="auto"/>
            <w:vAlign w:val="center"/>
            <w:hideMark/>
          </w:tcPr>
          <w:p w14:paraId="1A400541"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10,714</w:t>
            </w:r>
          </w:p>
        </w:tc>
      </w:tr>
      <w:tr w:rsidR="00130D9F" w:rsidRPr="005667EB" w14:paraId="4590BDA0" w14:textId="77777777" w:rsidTr="00F230A8">
        <w:trPr>
          <w:trHeight w:val="263"/>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618502F1"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2013</w:t>
            </w:r>
          </w:p>
        </w:tc>
        <w:tc>
          <w:tcPr>
            <w:tcW w:w="942" w:type="pct"/>
            <w:tcBorders>
              <w:top w:val="nil"/>
              <w:left w:val="nil"/>
              <w:bottom w:val="single" w:sz="8" w:space="0" w:color="auto"/>
              <w:right w:val="single" w:sz="8" w:space="0" w:color="auto"/>
            </w:tcBorders>
            <w:shd w:val="clear" w:color="auto" w:fill="auto"/>
            <w:vAlign w:val="center"/>
            <w:hideMark/>
          </w:tcPr>
          <w:p w14:paraId="46CEB416"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23,063</w:t>
            </w:r>
          </w:p>
        </w:tc>
        <w:tc>
          <w:tcPr>
            <w:tcW w:w="942" w:type="pct"/>
            <w:tcBorders>
              <w:top w:val="nil"/>
              <w:left w:val="nil"/>
              <w:bottom w:val="single" w:sz="8" w:space="0" w:color="auto"/>
              <w:right w:val="single" w:sz="8" w:space="0" w:color="auto"/>
            </w:tcBorders>
            <w:shd w:val="clear" w:color="auto" w:fill="auto"/>
            <w:vAlign w:val="center"/>
            <w:hideMark/>
          </w:tcPr>
          <w:p w14:paraId="02DF9659"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1,683</w:t>
            </w:r>
          </w:p>
        </w:tc>
        <w:tc>
          <w:tcPr>
            <w:tcW w:w="1232" w:type="pct"/>
            <w:tcBorders>
              <w:top w:val="nil"/>
              <w:left w:val="nil"/>
              <w:bottom w:val="single" w:sz="8" w:space="0" w:color="auto"/>
              <w:right w:val="single" w:sz="8" w:space="0" w:color="auto"/>
            </w:tcBorders>
            <w:shd w:val="clear" w:color="auto" w:fill="auto"/>
            <w:vAlign w:val="center"/>
            <w:hideMark/>
          </w:tcPr>
          <w:p w14:paraId="56978C7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4,514</w:t>
            </w:r>
          </w:p>
        </w:tc>
        <w:tc>
          <w:tcPr>
            <w:tcW w:w="942" w:type="pct"/>
            <w:tcBorders>
              <w:top w:val="nil"/>
              <w:left w:val="nil"/>
              <w:bottom w:val="single" w:sz="8" w:space="0" w:color="auto"/>
              <w:right w:val="single" w:sz="8" w:space="0" w:color="auto"/>
            </w:tcBorders>
            <w:shd w:val="clear" w:color="auto" w:fill="auto"/>
            <w:vAlign w:val="center"/>
            <w:hideMark/>
          </w:tcPr>
          <w:p w14:paraId="0EF419DC"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9,370</w:t>
            </w:r>
          </w:p>
        </w:tc>
      </w:tr>
      <w:tr w:rsidR="00130D9F" w:rsidRPr="005667EB" w14:paraId="748D5661" w14:textId="77777777" w:rsidTr="00F230A8">
        <w:trPr>
          <w:trHeight w:val="273"/>
          <w:jc w:val="center"/>
        </w:trPr>
        <w:tc>
          <w:tcPr>
            <w:tcW w:w="942" w:type="pct"/>
            <w:tcBorders>
              <w:top w:val="nil"/>
              <w:left w:val="single" w:sz="8" w:space="0" w:color="auto"/>
              <w:bottom w:val="single" w:sz="8" w:space="0" w:color="auto"/>
              <w:right w:val="single" w:sz="8" w:space="0" w:color="auto"/>
            </w:tcBorders>
            <w:shd w:val="clear" w:color="auto" w:fill="auto"/>
            <w:vAlign w:val="center"/>
            <w:hideMark/>
          </w:tcPr>
          <w:p w14:paraId="5CC77F83"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2014</w:t>
            </w:r>
          </w:p>
        </w:tc>
        <w:tc>
          <w:tcPr>
            <w:tcW w:w="942" w:type="pct"/>
            <w:tcBorders>
              <w:top w:val="nil"/>
              <w:left w:val="nil"/>
              <w:bottom w:val="single" w:sz="8" w:space="0" w:color="auto"/>
              <w:right w:val="single" w:sz="8" w:space="0" w:color="auto"/>
            </w:tcBorders>
            <w:shd w:val="clear" w:color="auto" w:fill="auto"/>
            <w:vAlign w:val="center"/>
            <w:hideMark/>
          </w:tcPr>
          <w:p w14:paraId="6C739D01"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20,006</w:t>
            </w:r>
          </w:p>
        </w:tc>
        <w:tc>
          <w:tcPr>
            <w:tcW w:w="942" w:type="pct"/>
            <w:tcBorders>
              <w:top w:val="nil"/>
              <w:left w:val="nil"/>
              <w:bottom w:val="single" w:sz="8" w:space="0" w:color="auto"/>
              <w:right w:val="single" w:sz="8" w:space="0" w:color="auto"/>
            </w:tcBorders>
            <w:shd w:val="clear" w:color="auto" w:fill="auto"/>
            <w:vAlign w:val="center"/>
            <w:hideMark/>
          </w:tcPr>
          <w:p w14:paraId="2A5B1617"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1,395</w:t>
            </w:r>
          </w:p>
        </w:tc>
        <w:tc>
          <w:tcPr>
            <w:tcW w:w="1232" w:type="pct"/>
            <w:tcBorders>
              <w:top w:val="nil"/>
              <w:left w:val="nil"/>
              <w:bottom w:val="single" w:sz="8" w:space="0" w:color="auto"/>
              <w:right w:val="single" w:sz="8" w:space="0" w:color="auto"/>
            </w:tcBorders>
            <w:shd w:val="clear" w:color="auto" w:fill="auto"/>
            <w:vAlign w:val="center"/>
            <w:hideMark/>
          </w:tcPr>
          <w:p w14:paraId="036B4B66"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5,356</w:t>
            </w:r>
          </w:p>
        </w:tc>
        <w:tc>
          <w:tcPr>
            <w:tcW w:w="942" w:type="pct"/>
            <w:tcBorders>
              <w:top w:val="nil"/>
              <w:left w:val="nil"/>
              <w:bottom w:val="single" w:sz="8" w:space="0" w:color="auto"/>
              <w:right w:val="single" w:sz="8" w:space="0" w:color="auto"/>
            </w:tcBorders>
            <w:shd w:val="clear" w:color="auto" w:fill="auto"/>
            <w:vAlign w:val="center"/>
            <w:hideMark/>
          </w:tcPr>
          <w:p w14:paraId="46382FC4" w14:textId="77777777" w:rsidR="00130D9F" w:rsidRPr="005667EB" w:rsidRDefault="00130D9F"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color w:val="000000"/>
                <w:sz w:val="24"/>
                <w:szCs w:val="24"/>
                <w:lang w:val="es-ES_tradnl" w:eastAsia="es-ES"/>
              </w:rPr>
              <w:t>8,840</w:t>
            </w:r>
          </w:p>
        </w:tc>
      </w:tr>
      <w:tr w:rsidR="00F230A8" w:rsidRPr="005667EB" w14:paraId="3A73A60C" w14:textId="77777777" w:rsidTr="00F230A8">
        <w:trPr>
          <w:trHeight w:val="273"/>
          <w:jc w:val="center"/>
        </w:trPr>
        <w:tc>
          <w:tcPr>
            <w:tcW w:w="942" w:type="pct"/>
            <w:tcBorders>
              <w:top w:val="nil"/>
              <w:left w:val="single" w:sz="8" w:space="0" w:color="auto"/>
              <w:bottom w:val="single" w:sz="4" w:space="0" w:color="auto"/>
              <w:right w:val="single" w:sz="8" w:space="0" w:color="auto"/>
            </w:tcBorders>
            <w:shd w:val="clear" w:color="auto" w:fill="auto"/>
            <w:vAlign w:val="center"/>
          </w:tcPr>
          <w:p w14:paraId="1E543956" w14:textId="4F54A49F" w:rsidR="00F230A8" w:rsidRPr="005667EB" w:rsidRDefault="00F230A8"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b/>
                <w:color w:val="000000"/>
                <w:sz w:val="24"/>
                <w:szCs w:val="24"/>
                <w:lang w:val="es-ES_tradnl" w:eastAsia="es-ES"/>
              </w:rPr>
              <w:t>TOTAL</w:t>
            </w:r>
          </w:p>
        </w:tc>
        <w:tc>
          <w:tcPr>
            <w:tcW w:w="942" w:type="pct"/>
            <w:tcBorders>
              <w:top w:val="nil"/>
              <w:left w:val="nil"/>
              <w:bottom w:val="single" w:sz="4" w:space="0" w:color="auto"/>
              <w:right w:val="single" w:sz="8" w:space="0" w:color="auto"/>
            </w:tcBorders>
            <w:shd w:val="clear" w:color="auto" w:fill="auto"/>
            <w:vAlign w:val="center"/>
          </w:tcPr>
          <w:p w14:paraId="20284ECB" w14:textId="7D3C3CF4" w:rsidR="00F230A8" w:rsidRPr="005667EB" w:rsidRDefault="00F230A8"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b/>
                <w:color w:val="000000"/>
                <w:sz w:val="24"/>
                <w:szCs w:val="24"/>
                <w:lang w:val="es-ES_tradnl" w:eastAsia="es-ES"/>
              </w:rPr>
              <w:t>175,134</w:t>
            </w:r>
          </w:p>
        </w:tc>
        <w:tc>
          <w:tcPr>
            <w:tcW w:w="942" w:type="pct"/>
            <w:tcBorders>
              <w:top w:val="nil"/>
              <w:left w:val="nil"/>
              <w:bottom w:val="single" w:sz="4" w:space="0" w:color="auto"/>
              <w:right w:val="single" w:sz="8" w:space="0" w:color="auto"/>
            </w:tcBorders>
            <w:shd w:val="clear" w:color="auto" w:fill="auto"/>
            <w:vAlign w:val="center"/>
          </w:tcPr>
          <w:p w14:paraId="45637E37" w14:textId="0AFB4AA4" w:rsidR="00F230A8" w:rsidRPr="005667EB" w:rsidRDefault="00F230A8"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b/>
                <w:color w:val="000000"/>
                <w:sz w:val="24"/>
                <w:szCs w:val="24"/>
                <w:lang w:val="es-ES_tradnl" w:eastAsia="es-ES"/>
              </w:rPr>
              <w:t>10,390</w:t>
            </w:r>
          </w:p>
        </w:tc>
        <w:tc>
          <w:tcPr>
            <w:tcW w:w="1232" w:type="pct"/>
            <w:tcBorders>
              <w:top w:val="nil"/>
              <w:left w:val="nil"/>
              <w:bottom w:val="single" w:sz="4" w:space="0" w:color="auto"/>
              <w:right w:val="single" w:sz="8" w:space="0" w:color="auto"/>
            </w:tcBorders>
            <w:shd w:val="clear" w:color="auto" w:fill="auto"/>
            <w:vAlign w:val="center"/>
          </w:tcPr>
          <w:p w14:paraId="14EDCDDD" w14:textId="656B1B91" w:rsidR="00F230A8" w:rsidRPr="005667EB" w:rsidRDefault="00F230A8"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b/>
                <w:color w:val="000000"/>
                <w:sz w:val="24"/>
                <w:szCs w:val="24"/>
                <w:lang w:val="es-ES_tradnl" w:eastAsia="es-ES"/>
              </w:rPr>
              <w:t>23,076</w:t>
            </w:r>
          </w:p>
        </w:tc>
        <w:tc>
          <w:tcPr>
            <w:tcW w:w="942" w:type="pct"/>
            <w:tcBorders>
              <w:top w:val="nil"/>
              <w:left w:val="nil"/>
              <w:bottom w:val="single" w:sz="4" w:space="0" w:color="auto"/>
              <w:right w:val="single" w:sz="8" w:space="0" w:color="auto"/>
            </w:tcBorders>
            <w:shd w:val="clear" w:color="auto" w:fill="auto"/>
            <w:vAlign w:val="center"/>
          </w:tcPr>
          <w:p w14:paraId="01FF4E83" w14:textId="590D6709" w:rsidR="00F230A8" w:rsidRPr="005667EB" w:rsidRDefault="00F230A8" w:rsidP="005A5E1E">
            <w:pPr>
              <w:spacing w:after="0" w:line="240" w:lineRule="auto"/>
              <w:contextualSpacing/>
              <w:jc w:val="center"/>
              <w:rPr>
                <w:rFonts w:ascii="Times New Roman" w:eastAsia="Times New Roman" w:hAnsi="Times New Roman"/>
                <w:color w:val="000000"/>
                <w:sz w:val="24"/>
                <w:szCs w:val="24"/>
                <w:lang w:val="es-ES_tradnl" w:eastAsia="es-ES"/>
              </w:rPr>
            </w:pPr>
            <w:r w:rsidRPr="005667EB">
              <w:rPr>
                <w:rFonts w:ascii="Times New Roman" w:eastAsia="Times New Roman" w:hAnsi="Times New Roman"/>
                <w:b/>
                <w:color w:val="000000"/>
                <w:sz w:val="24"/>
                <w:szCs w:val="24"/>
                <w:lang w:val="es-ES_tradnl" w:eastAsia="es-ES"/>
              </w:rPr>
              <w:t>52,001</w:t>
            </w:r>
          </w:p>
        </w:tc>
      </w:tr>
      <w:tr w:rsidR="00F230A8" w:rsidRPr="005667EB" w14:paraId="7DA10A93" w14:textId="77777777" w:rsidTr="00F230A8">
        <w:trPr>
          <w:trHeight w:val="553"/>
          <w:jc w:val="center"/>
        </w:trPr>
        <w:tc>
          <w:tcPr>
            <w:tcW w:w="5000" w:type="pct"/>
            <w:gridSpan w:val="5"/>
            <w:tcBorders>
              <w:top w:val="single" w:sz="4" w:space="0" w:color="auto"/>
            </w:tcBorders>
            <w:shd w:val="clear" w:color="auto" w:fill="auto"/>
            <w:vAlign w:val="center"/>
            <w:hideMark/>
          </w:tcPr>
          <w:p w14:paraId="77E3EA51" w14:textId="7E039681" w:rsidR="00F230A8" w:rsidRPr="005667EB" w:rsidRDefault="00F230A8" w:rsidP="005A5E1E">
            <w:pPr>
              <w:spacing w:after="0" w:line="240" w:lineRule="auto"/>
              <w:ind w:left="708"/>
              <w:contextualSpacing/>
              <w:rPr>
                <w:rFonts w:ascii="Times New Roman" w:hAnsi="Times New Roman"/>
                <w:color w:val="000000"/>
                <w:sz w:val="24"/>
                <w:szCs w:val="24"/>
              </w:rPr>
            </w:pPr>
            <w:r w:rsidRPr="005667EB">
              <w:rPr>
                <w:rFonts w:ascii="Times New Roman" w:hAnsi="Times New Roman"/>
                <w:color w:val="000000"/>
                <w:sz w:val="24"/>
                <w:szCs w:val="24"/>
              </w:rPr>
              <w:t xml:space="preserve">Fuentes: </w:t>
            </w:r>
            <w:r w:rsidRPr="005667EB">
              <w:rPr>
                <w:rFonts w:ascii="Times New Roman" w:hAnsi="Times New Roman"/>
                <w:sz w:val="24"/>
                <w:szCs w:val="24"/>
                <w:lang w:val="es-ES_tradnl"/>
              </w:rPr>
              <w:t>Elaboración propia con datos de INEGI, SESNSP, Casede, Cámara de Diputados, PGR y Department of Justice de Estados Unidos, 2006-2015.</w:t>
            </w:r>
          </w:p>
        </w:tc>
      </w:tr>
    </w:tbl>
    <w:p w14:paraId="02983F2D" w14:textId="77777777" w:rsidR="006623ED" w:rsidRPr="005667EB" w:rsidRDefault="00F230A8" w:rsidP="005A5E1E">
      <w:pPr>
        <w:spacing w:after="0" w:line="480" w:lineRule="auto"/>
        <w:contextualSpacing/>
        <w:jc w:val="both"/>
        <w:rPr>
          <w:rFonts w:ascii="Times New Roman" w:hAnsi="Times New Roman"/>
          <w:color w:val="000000"/>
          <w:sz w:val="24"/>
          <w:szCs w:val="24"/>
        </w:rPr>
      </w:pPr>
      <w:r w:rsidRPr="005667EB">
        <w:rPr>
          <w:rFonts w:ascii="Times New Roman" w:hAnsi="Times New Roman"/>
          <w:color w:val="000000"/>
          <w:sz w:val="24"/>
          <w:szCs w:val="24"/>
        </w:rPr>
        <w:tab/>
      </w:r>
    </w:p>
    <w:p w14:paraId="45530B43" w14:textId="45AD0D37" w:rsidR="000B69F7" w:rsidRPr="005667EB" w:rsidRDefault="006623ED" w:rsidP="005A5E1E">
      <w:pPr>
        <w:spacing w:after="0" w:line="480" w:lineRule="auto"/>
        <w:contextualSpacing/>
        <w:jc w:val="both"/>
        <w:rPr>
          <w:rFonts w:ascii="Times New Roman" w:hAnsi="Times New Roman"/>
          <w:sz w:val="24"/>
          <w:szCs w:val="24"/>
          <w:lang w:val="es-ES_tradnl"/>
        </w:rPr>
      </w:pPr>
      <w:r w:rsidRPr="005667EB">
        <w:rPr>
          <w:rFonts w:ascii="Times New Roman" w:hAnsi="Times New Roman"/>
          <w:color w:val="000000"/>
          <w:sz w:val="24"/>
          <w:szCs w:val="24"/>
        </w:rPr>
        <w:lastRenderedPageBreak/>
        <w:tab/>
      </w:r>
      <w:r w:rsidR="002E04B8" w:rsidRPr="005667EB">
        <w:rPr>
          <w:rFonts w:ascii="Times New Roman" w:hAnsi="Times New Roman"/>
          <w:color w:val="000000"/>
          <w:sz w:val="24"/>
          <w:szCs w:val="24"/>
        </w:rPr>
        <w:t xml:space="preserve">Es urgente mejorar la eficiencia de las instituciones del Estado encargadas de </w:t>
      </w:r>
      <w:r w:rsidR="000B69F7" w:rsidRPr="005667EB">
        <w:rPr>
          <w:rFonts w:ascii="Times New Roman" w:hAnsi="Times New Roman"/>
          <w:color w:val="000000"/>
          <w:sz w:val="24"/>
          <w:szCs w:val="24"/>
        </w:rPr>
        <w:t xml:space="preserve">atender a las víctimas. </w:t>
      </w:r>
      <w:r w:rsidR="002E04B8" w:rsidRPr="005667EB">
        <w:rPr>
          <w:rFonts w:ascii="Times New Roman" w:hAnsi="Times New Roman"/>
          <w:sz w:val="24"/>
          <w:szCs w:val="24"/>
        </w:rPr>
        <w:t>La Ley General de Víctimas</w:t>
      </w:r>
      <w:r w:rsidR="00D97591" w:rsidRPr="005667EB">
        <w:rPr>
          <w:rFonts w:ascii="Times New Roman" w:hAnsi="Times New Roman"/>
          <w:sz w:val="24"/>
          <w:szCs w:val="24"/>
        </w:rPr>
        <w:t>, publicada el 9 de enero de 2013 en el Diario Oficial de la Federación,</w:t>
      </w:r>
      <w:r w:rsidR="002E04B8" w:rsidRPr="005667EB">
        <w:rPr>
          <w:rFonts w:ascii="Times New Roman" w:hAnsi="Times New Roman"/>
          <w:sz w:val="24"/>
          <w:szCs w:val="24"/>
        </w:rPr>
        <w:t xml:space="preserve"> creó el Sistema Nacional de </w:t>
      </w:r>
      <w:r w:rsidR="000B69F7" w:rsidRPr="005667EB">
        <w:rPr>
          <w:rFonts w:ascii="Times New Roman" w:hAnsi="Times New Roman"/>
          <w:sz w:val="24"/>
          <w:szCs w:val="24"/>
          <w:lang w:val="es-ES_tradnl"/>
        </w:rPr>
        <w:t>Atención a Víctimas (</w:t>
      </w:r>
      <w:r w:rsidR="00AA6E11" w:rsidRPr="005667EB">
        <w:rPr>
          <w:rFonts w:ascii="Times New Roman" w:hAnsi="Times New Roman"/>
          <w:sz w:val="24"/>
          <w:szCs w:val="24"/>
          <w:lang w:val="es-ES_tradnl"/>
        </w:rPr>
        <w:t>“</w:t>
      </w:r>
      <w:r w:rsidR="000B69F7" w:rsidRPr="005667EB">
        <w:rPr>
          <w:rFonts w:ascii="Times New Roman" w:hAnsi="Times New Roman"/>
          <w:sz w:val="24"/>
          <w:szCs w:val="24"/>
          <w:lang w:val="es-ES_tradnl"/>
        </w:rPr>
        <w:t>Sistema Nacional</w:t>
      </w:r>
      <w:r w:rsidR="00AA6E11" w:rsidRPr="005667EB">
        <w:rPr>
          <w:rFonts w:ascii="Times New Roman" w:hAnsi="Times New Roman"/>
          <w:sz w:val="24"/>
          <w:szCs w:val="24"/>
          <w:lang w:val="es-ES_tradnl"/>
        </w:rPr>
        <w:t>”</w:t>
      </w:r>
      <w:r w:rsidR="000B69F7" w:rsidRPr="005667EB">
        <w:rPr>
          <w:rFonts w:ascii="Times New Roman" w:hAnsi="Times New Roman"/>
          <w:sz w:val="24"/>
          <w:szCs w:val="24"/>
          <w:lang w:val="es-ES_tradnl"/>
        </w:rPr>
        <w:t xml:space="preserve">) </w:t>
      </w:r>
      <w:r w:rsidR="002E04B8" w:rsidRPr="005667EB">
        <w:rPr>
          <w:rFonts w:ascii="Times New Roman" w:hAnsi="Times New Roman"/>
          <w:sz w:val="24"/>
          <w:szCs w:val="24"/>
          <w:lang w:val="es-ES_tradnl"/>
        </w:rPr>
        <w:t>como instancia superior de coordinación y formulación de políticas públicas, que propone, establece y supervisa las directrices, servicios, planes, programas, proyectos, acciones institucionales e interinstitucionales, así como otras políticas públicas implementadas para la protección, ayuda, asistencia, atención, acceso a la justicia, a la verdad y a la reparación integral a las víctimas en los ámbitos local, federal y municipal</w:t>
      </w:r>
      <w:r w:rsidR="002E04B8" w:rsidRPr="005667EB">
        <w:rPr>
          <w:rStyle w:val="Refdenotaalpie"/>
          <w:rFonts w:ascii="Times New Roman" w:hAnsi="Times New Roman"/>
          <w:sz w:val="24"/>
          <w:szCs w:val="24"/>
          <w:lang w:val="es-ES_tradnl"/>
        </w:rPr>
        <w:footnoteReference w:id="1"/>
      </w:r>
      <w:r w:rsidR="002E04B8" w:rsidRPr="005667EB">
        <w:rPr>
          <w:rFonts w:ascii="Times New Roman" w:hAnsi="Times New Roman"/>
          <w:sz w:val="24"/>
          <w:szCs w:val="24"/>
          <w:lang w:val="es-ES_tradnl"/>
        </w:rPr>
        <w:t xml:space="preserve">. </w:t>
      </w:r>
    </w:p>
    <w:p w14:paraId="5D5EB088" w14:textId="77777777" w:rsidR="004413EA" w:rsidRPr="005667EB" w:rsidRDefault="002E04B8" w:rsidP="005A5E1E">
      <w:pPr>
        <w:spacing w:after="0" w:line="480" w:lineRule="auto"/>
        <w:ind w:firstLine="708"/>
        <w:contextualSpacing/>
        <w:jc w:val="both"/>
        <w:rPr>
          <w:rFonts w:ascii="Times New Roman" w:hAnsi="Times New Roman"/>
          <w:sz w:val="24"/>
          <w:szCs w:val="24"/>
        </w:rPr>
      </w:pPr>
      <w:r w:rsidRPr="005667EB">
        <w:rPr>
          <w:rFonts w:ascii="Times New Roman" w:hAnsi="Times New Roman"/>
          <w:sz w:val="24"/>
          <w:szCs w:val="24"/>
          <w:lang w:val="es-ES_tradnl"/>
        </w:rPr>
        <w:t>La Comisión Ejecutiva de Atención a Víctimas (“CEAV”) es el órgano operativo del Sistema Nacional</w:t>
      </w:r>
      <w:r w:rsidRPr="005667EB">
        <w:rPr>
          <w:rStyle w:val="Refdenotaalpie"/>
          <w:rFonts w:ascii="Times New Roman" w:hAnsi="Times New Roman"/>
          <w:sz w:val="24"/>
          <w:szCs w:val="24"/>
          <w:lang w:val="es-ES_tradnl"/>
        </w:rPr>
        <w:footnoteReference w:id="2"/>
      </w:r>
      <w:r w:rsidRPr="005667EB">
        <w:rPr>
          <w:rFonts w:ascii="Times New Roman" w:hAnsi="Times New Roman"/>
          <w:sz w:val="24"/>
          <w:szCs w:val="24"/>
        </w:rPr>
        <w:t xml:space="preserve"> </w:t>
      </w:r>
      <w:r w:rsidR="000B69F7" w:rsidRPr="005667EB">
        <w:rPr>
          <w:rFonts w:ascii="Times New Roman" w:hAnsi="Times New Roman"/>
          <w:sz w:val="24"/>
          <w:szCs w:val="24"/>
        </w:rPr>
        <w:t xml:space="preserve">y </w:t>
      </w:r>
      <w:r w:rsidR="005E410C" w:rsidRPr="005667EB">
        <w:rPr>
          <w:rFonts w:ascii="Times New Roman" w:hAnsi="Times New Roman"/>
          <w:sz w:val="24"/>
          <w:szCs w:val="24"/>
        </w:rPr>
        <w:t xml:space="preserve">es muy grande </w:t>
      </w:r>
      <w:r w:rsidR="000B69F7" w:rsidRPr="005667EB">
        <w:rPr>
          <w:rFonts w:ascii="Times New Roman" w:hAnsi="Times New Roman"/>
          <w:sz w:val="24"/>
          <w:szCs w:val="24"/>
        </w:rPr>
        <w:t xml:space="preserve">su capacidad </w:t>
      </w:r>
      <w:r w:rsidR="005E410C" w:rsidRPr="005667EB">
        <w:rPr>
          <w:rFonts w:ascii="Times New Roman" w:hAnsi="Times New Roman"/>
          <w:sz w:val="24"/>
          <w:szCs w:val="24"/>
        </w:rPr>
        <w:t xml:space="preserve">potencial para influir en este tema. </w:t>
      </w:r>
      <w:r w:rsidR="000B69F7" w:rsidRPr="005667EB">
        <w:rPr>
          <w:rFonts w:ascii="Times New Roman" w:hAnsi="Times New Roman"/>
          <w:sz w:val="24"/>
          <w:szCs w:val="24"/>
        </w:rPr>
        <w:t xml:space="preserve"> Puede impulsar </w:t>
      </w:r>
      <w:r w:rsidRPr="005667EB">
        <w:rPr>
          <w:rFonts w:ascii="Times New Roman" w:hAnsi="Times New Roman"/>
          <w:sz w:val="24"/>
          <w:szCs w:val="24"/>
        </w:rPr>
        <w:t>políticas públicas integral</w:t>
      </w:r>
      <w:r w:rsidR="0034569B" w:rsidRPr="005667EB">
        <w:rPr>
          <w:rFonts w:ascii="Times New Roman" w:hAnsi="Times New Roman"/>
          <w:sz w:val="24"/>
          <w:szCs w:val="24"/>
        </w:rPr>
        <w:t>es</w:t>
      </w:r>
      <w:r w:rsidRPr="005667EB">
        <w:rPr>
          <w:rFonts w:ascii="Times New Roman" w:hAnsi="Times New Roman"/>
          <w:sz w:val="24"/>
          <w:szCs w:val="24"/>
        </w:rPr>
        <w:t xml:space="preserve"> </w:t>
      </w:r>
      <w:r w:rsidRPr="005667EB">
        <w:rPr>
          <w:rFonts w:ascii="Times New Roman" w:hAnsi="Times New Roman"/>
          <w:sz w:val="24"/>
          <w:szCs w:val="24"/>
          <w:lang w:val="es-ES_tradnl"/>
        </w:rPr>
        <w:t>de atención, asistencia, protección, acceso a la justicia, a la verdad y reparación integral a las víctimas u ofendidos; instrumentar los mecanismos, medidas, acciones, mejoras y otras políticas acordadas por el Sistema; establecer medidas que contribuyan a garantizar la reparación integral, el acceso efectivo a la verdad y a la justicia, y; realizar diagnósticos nacionales y específicos sobre la situación de las víctimas para evaluar e identificar los problemas a los que se enfrenten y qué es lo que se requiere para solucionarlos</w:t>
      </w:r>
      <w:r w:rsidRPr="005667EB">
        <w:rPr>
          <w:rStyle w:val="Refdenotaalpie"/>
          <w:rFonts w:ascii="Times New Roman" w:hAnsi="Times New Roman"/>
          <w:sz w:val="24"/>
          <w:szCs w:val="24"/>
          <w:lang w:val="es-ES_tradnl"/>
        </w:rPr>
        <w:footnoteReference w:id="3"/>
      </w:r>
      <w:r w:rsidRPr="005667EB">
        <w:rPr>
          <w:rFonts w:ascii="Times New Roman" w:hAnsi="Times New Roman"/>
          <w:sz w:val="24"/>
          <w:szCs w:val="24"/>
        </w:rPr>
        <w:t>.</w:t>
      </w:r>
    </w:p>
    <w:p w14:paraId="2903D952" w14:textId="42AF94AD" w:rsidR="004413EA" w:rsidRPr="005667EB" w:rsidRDefault="0083344F" w:rsidP="005A5E1E">
      <w:pPr>
        <w:spacing w:after="0" w:line="480" w:lineRule="auto"/>
        <w:contextualSpacing/>
        <w:jc w:val="both"/>
        <w:rPr>
          <w:rFonts w:ascii="Times New Roman" w:hAnsi="Times New Roman"/>
          <w:sz w:val="24"/>
          <w:szCs w:val="24"/>
        </w:rPr>
      </w:pPr>
      <w:r w:rsidRPr="005667EB">
        <w:rPr>
          <w:rFonts w:ascii="Times New Roman" w:hAnsi="Times New Roman"/>
          <w:sz w:val="24"/>
          <w:szCs w:val="24"/>
        </w:rPr>
        <w:tab/>
      </w:r>
      <w:r w:rsidR="004413EA" w:rsidRPr="005667EB">
        <w:rPr>
          <w:rFonts w:ascii="Times New Roman" w:hAnsi="Times New Roman"/>
          <w:sz w:val="24"/>
          <w:szCs w:val="24"/>
        </w:rPr>
        <w:t>En este contexto, el pasado 3 de marzo, la CEAV y El Colegio de México firmaron un convenio para investigar dos masacres paradigmáticas: la de San Fernando, Tamaulipas y la de Allende, Coahuila. El proyecto busca esclarecer esos sucesos tan lamentables y, con ello, contribuir a la reparación integral de las víctimas, además de recomendar acciones específicas para evitar su repetición. La verdad como paso imprescindible hacia la justicia.</w:t>
      </w:r>
    </w:p>
    <w:p w14:paraId="13B4E30D" w14:textId="14FF8A04" w:rsidR="004413EA" w:rsidRPr="005667EB" w:rsidRDefault="004413EA" w:rsidP="005A5E1E">
      <w:pPr>
        <w:spacing w:after="0" w:line="480" w:lineRule="auto"/>
        <w:contextualSpacing/>
        <w:jc w:val="both"/>
        <w:rPr>
          <w:rFonts w:ascii="Times New Roman" w:hAnsi="Times New Roman"/>
          <w:sz w:val="24"/>
          <w:szCs w:val="24"/>
        </w:rPr>
      </w:pPr>
      <w:r w:rsidRPr="005667EB">
        <w:rPr>
          <w:rFonts w:ascii="Times New Roman" w:hAnsi="Times New Roman"/>
          <w:sz w:val="24"/>
          <w:szCs w:val="24"/>
        </w:rPr>
        <w:lastRenderedPageBreak/>
        <w:tab/>
      </w:r>
      <w:r w:rsidR="0083344F" w:rsidRPr="005667EB">
        <w:rPr>
          <w:rFonts w:ascii="Times New Roman" w:hAnsi="Times New Roman"/>
          <w:sz w:val="24"/>
          <w:szCs w:val="24"/>
        </w:rPr>
        <w:t>E</w:t>
      </w:r>
      <w:r w:rsidRPr="005667EB">
        <w:rPr>
          <w:rFonts w:ascii="Times New Roman" w:hAnsi="Times New Roman"/>
          <w:sz w:val="24"/>
          <w:szCs w:val="24"/>
        </w:rPr>
        <w:t>s necesario apuntar que se trata de una investigación independiente, que busca, como uno de sus objetivos principales, el diálogo constante con la sociedad, mediante la presentación periódica de resultados y el diseño e implementación de una metodología transparente. Además, el grupo de investigadores contará con la asesoría de Mariclaire Acosta, Rubén Aguilar, Javier Sicilia y Juan Villoro.</w:t>
      </w:r>
    </w:p>
    <w:p w14:paraId="6DB7389D" w14:textId="07A0E64C" w:rsidR="004413EA" w:rsidRPr="005667EB" w:rsidRDefault="004413EA" w:rsidP="005A5E1E">
      <w:pPr>
        <w:spacing w:after="0" w:line="480" w:lineRule="auto"/>
        <w:ind w:firstLine="709"/>
        <w:contextualSpacing/>
        <w:jc w:val="both"/>
        <w:rPr>
          <w:rFonts w:ascii="Times New Roman" w:hAnsi="Times New Roman"/>
          <w:sz w:val="24"/>
          <w:szCs w:val="24"/>
        </w:rPr>
      </w:pPr>
      <w:r w:rsidRPr="005667EB">
        <w:rPr>
          <w:rFonts w:ascii="Times New Roman" w:hAnsi="Times New Roman"/>
          <w:sz w:val="24"/>
          <w:szCs w:val="24"/>
        </w:rPr>
        <w:t>El proyecto busca aportar en tres rubros, relacionados entre sí. En primer lugar, desde una dimensión ética, la investigación pretende contribuir a la ruptura del ciclo de violencia, mediante el esclarecimiento de los hechos entendido como medida de reparación de las víctimas. En segundo, académicamente, el proyecto analizará los contextos sociales, históricos y políticos en que se desarrollaron las masacres: frenar la violencia pasa por entenderla. En tercero, el proyecto pretende abrir camino y generar experiencia valiosa, necesaria para la implementación de programas similares a lo largo del territorio mexicano, considerando el clima de violencia y violaciones sistemáticas a los derechos humanos en el país.</w:t>
      </w:r>
    </w:p>
    <w:p w14:paraId="1621F369" w14:textId="77777777" w:rsidR="002F7EB1" w:rsidRPr="005667EB" w:rsidRDefault="002F7EB1" w:rsidP="005A5E1E">
      <w:pPr>
        <w:spacing w:after="0" w:line="480" w:lineRule="auto"/>
        <w:ind w:firstLine="709"/>
        <w:contextualSpacing/>
        <w:jc w:val="both"/>
        <w:rPr>
          <w:rFonts w:ascii="Times New Roman" w:hAnsi="Times New Roman"/>
          <w:color w:val="000000"/>
          <w:sz w:val="24"/>
          <w:szCs w:val="24"/>
        </w:rPr>
      </w:pPr>
    </w:p>
    <w:p w14:paraId="6E3C5D06" w14:textId="571975B9" w:rsidR="002F7EB1" w:rsidRPr="005667EB" w:rsidRDefault="00BD4D83" w:rsidP="005A5E1E">
      <w:pPr>
        <w:spacing w:after="0" w:line="480" w:lineRule="auto"/>
        <w:contextualSpacing/>
        <w:jc w:val="both"/>
        <w:rPr>
          <w:rFonts w:ascii="Times New Roman" w:hAnsi="Times New Roman"/>
          <w:b/>
          <w:color w:val="000000"/>
          <w:sz w:val="24"/>
          <w:szCs w:val="24"/>
        </w:rPr>
      </w:pPr>
      <w:r w:rsidRPr="005667EB">
        <w:rPr>
          <w:rFonts w:ascii="Times New Roman" w:hAnsi="Times New Roman"/>
          <w:b/>
          <w:color w:val="000000"/>
          <w:sz w:val="24"/>
          <w:szCs w:val="24"/>
        </w:rPr>
        <w:t>CASOS DE ESTUDIO</w:t>
      </w:r>
    </w:p>
    <w:p w14:paraId="1B49833C" w14:textId="77777777" w:rsidR="002F7EB1" w:rsidRPr="005667EB" w:rsidRDefault="002F7EB1" w:rsidP="005A5E1E">
      <w:pPr>
        <w:spacing w:after="0" w:line="480" w:lineRule="auto"/>
        <w:contextualSpacing/>
        <w:jc w:val="both"/>
        <w:rPr>
          <w:rFonts w:ascii="Times New Roman" w:hAnsi="Times New Roman"/>
          <w:color w:val="000000"/>
          <w:sz w:val="24"/>
          <w:szCs w:val="24"/>
        </w:rPr>
      </w:pPr>
      <w:r w:rsidRPr="005667EB">
        <w:rPr>
          <w:rFonts w:ascii="Times New Roman" w:hAnsi="Times New Roman"/>
          <w:color w:val="000000"/>
          <w:sz w:val="24"/>
          <w:szCs w:val="24"/>
        </w:rPr>
        <w:t xml:space="preserve">La propuesta de investigación que presenta el Seminario sobre Violencia y Paz de El Colegio de México consiste en hacer una investigación exhaustiva de dos masacres paradigmáticas (San Fernando y Allende) para esclarecer cómo fueron las reacciones de cuatro actores: 1) Las diferentes instancias del Estado Mexicano (locales, estatales y federales); 2) la comunidad internacional; 3) los actores sociales que se interesaron por el caso; y, 4) las víctimas. Con los resultados se harán recomendaciones orientadas a mejorar la atención de las víctimas. </w:t>
      </w:r>
    </w:p>
    <w:p w14:paraId="6A6AB909" w14:textId="77777777" w:rsidR="002F7EB1" w:rsidRPr="005667EB" w:rsidRDefault="002F7EB1" w:rsidP="005A5E1E">
      <w:pPr>
        <w:spacing w:after="0" w:line="480" w:lineRule="auto"/>
        <w:contextualSpacing/>
        <w:rPr>
          <w:rFonts w:ascii="Times New Roman" w:hAnsi="Times New Roman"/>
          <w:i/>
          <w:sz w:val="24"/>
          <w:szCs w:val="24"/>
        </w:rPr>
      </w:pPr>
    </w:p>
    <w:p w14:paraId="6BD827A0" w14:textId="77777777" w:rsidR="0035555A" w:rsidRPr="005667EB" w:rsidRDefault="0035555A" w:rsidP="005A5E1E">
      <w:pPr>
        <w:spacing w:after="0" w:line="480" w:lineRule="auto"/>
        <w:contextualSpacing/>
        <w:rPr>
          <w:rFonts w:ascii="Times New Roman" w:hAnsi="Times New Roman"/>
          <w:i/>
          <w:sz w:val="24"/>
          <w:szCs w:val="24"/>
        </w:rPr>
      </w:pPr>
      <w:r w:rsidRPr="005667EB">
        <w:rPr>
          <w:rFonts w:ascii="Times New Roman" w:hAnsi="Times New Roman"/>
          <w:i/>
          <w:sz w:val="24"/>
          <w:szCs w:val="24"/>
        </w:rPr>
        <w:lastRenderedPageBreak/>
        <w:t>Masacre de 72 migrantes en San Fernando, Tamaulipas</w:t>
      </w:r>
    </w:p>
    <w:p w14:paraId="48DFD0C7" w14:textId="592BC964" w:rsidR="0034569B" w:rsidRPr="005667EB" w:rsidRDefault="0035555A" w:rsidP="005A5E1E">
      <w:pPr>
        <w:spacing w:after="0" w:line="480" w:lineRule="auto"/>
        <w:contextualSpacing/>
        <w:jc w:val="both"/>
        <w:rPr>
          <w:rFonts w:ascii="Times New Roman" w:hAnsi="Times New Roman"/>
          <w:sz w:val="24"/>
          <w:szCs w:val="24"/>
          <w:lang w:val="es-ES_tradnl"/>
        </w:rPr>
      </w:pPr>
      <w:r w:rsidRPr="005667EB">
        <w:rPr>
          <w:rFonts w:ascii="Times New Roman" w:hAnsi="Times New Roman"/>
          <w:sz w:val="24"/>
          <w:szCs w:val="24"/>
          <w:lang w:val="es-ES_tradnl"/>
        </w:rPr>
        <w:t>El 25 de agosto de 2010,</w:t>
      </w:r>
      <w:r w:rsidR="00E64A33" w:rsidRPr="005667EB">
        <w:rPr>
          <w:rFonts w:ascii="Times New Roman" w:hAnsi="Times New Roman"/>
          <w:sz w:val="24"/>
          <w:szCs w:val="24"/>
          <w:lang w:val="es-ES_tradnl"/>
        </w:rPr>
        <w:t xml:space="preserve"> fueron</w:t>
      </w:r>
      <w:r w:rsidRPr="005667EB">
        <w:rPr>
          <w:rFonts w:ascii="Times New Roman" w:hAnsi="Times New Roman"/>
          <w:sz w:val="24"/>
          <w:szCs w:val="24"/>
          <w:lang w:val="es-ES_tradnl"/>
        </w:rPr>
        <w:t xml:space="preserve"> hallados los cuerpos de 72 migrantes en el rancho “El Huizachal” ubicado en el municipio de San Fernando, Tamaulipas. 58 hombres y 14 mujeres fueron </w:t>
      </w:r>
      <w:r w:rsidR="0088382E" w:rsidRPr="005667EB">
        <w:rPr>
          <w:rFonts w:ascii="Times New Roman" w:hAnsi="Times New Roman"/>
          <w:sz w:val="24"/>
          <w:szCs w:val="24"/>
          <w:lang w:val="es-ES_tradnl"/>
        </w:rPr>
        <w:t xml:space="preserve">presuntamente </w:t>
      </w:r>
      <w:r w:rsidRPr="005667EB">
        <w:rPr>
          <w:rFonts w:ascii="Times New Roman" w:hAnsi="Times New Roman"/>
          <w:sz w:val="24"/>
          <w:szCs w:val="24"/>
          <w:lang w:val="es-ES_tradnl"/>
        </w:rPr>
        <w:t xml:space="preserve">asesinados por </w:t>
      </w:r>
      <w:r w:rsidR="0088382E" w:rsidRPr="005667EB">
        <w:rPr>
          <w:rFonts w:ascii="Times New Roman" w:hAnsi="Times New Roman"/>
          <w:sz w:val="24"/>
          <w:szCs w:val="24"/>
          <w:lang w:val="es-ES_tradnl"/>
        </w:rPr>
        <w:t>Los Zetas</w:t>
      </w:r>
      <w:r w:rsidR="000B0CF4" w:rsidRPr="005667EB">
        <w:rPr>
          <w:rFonts w:ascii="Times New Roman" w:hAnsi="Times New Roman"/>
          <w:sz w:val="24"/>
          <w:szCs w:val="24"/>
          <w:lang w:val="es-ES_tradnl"/>
        </w:rPr>
        <w:t>.</w:t>
      </w:r>
      <w:r w:rsidR="0088382E" w:rsidRPr="005667EB">
        <w:rPr>
          <w:rStyle w:val="Refdenotaalpie"/>
          <w:rFonts w:ascii="Times New Roman" w:hAnsi="Times New Roman"/>
          <w:sz w:val="24"/>
          <w:szCs w:val="24"/>
          <w:lang w:val="es-ES_tradnl"/>
        </w:rPr>
        <w:footnoteReference w:id="4"/>
      </w:r>
      <w:r w:rsidRPr="005667EB">
        <w:rPr>
          <w:rFonts w:ascii="Times New Roman" w:hAnsi="Times New Roman"/>
          <w:sz w:val="24"/>
          <w:szCs w:val="24"/>
          <w:lang w:val="es-ES_tradnl"/>
        </w:rPr>
        <w:t xml:space="preserve"> Entre las víctimas identificadas se encontraron 24 hondureños, 14 salvadoreños, 13 guatemaltecos, 5 ecuatorianos, 3 brasile</w:t>
      </w:r>
      <w:r w:rsidR="00CF62BE" w:rsidRPr="005667EB">
        <w:rPr>
          <w:rFonts w:ascii="Times New Roman" w:hAnsi="Times New Roman"/>
          <w:sz w:val="24"/>
          <w:szCs w:val="24"/>
          <w:lang w:val="es-ES_tradnl"/>
        </w:rPr>
        <w:t xml:space="preserve">ños y una persona de la India. </w:t>
      </w:r>
      <w:r w:rsidR="002B0739" w:rsidRPr="005667EB">
        <w:rPr>
          <w:rFonts w:ascii="Times New Roman" w:hAnsi="Times New Roman"/>
          <w:sz w:val="24"/>
          <w:szCs w:val="24"/>
          <w:lang w:val="es-ES_tradnl"/>
        </w:rPr>
        <w:t xml:space="preserve">En diciembre de 2014, se supo que </w:t>
      </w:r>
      <w:r w:rsidR="005E410C" w:rsidRPr="005667EB">
        <w:rPr>
          <w:rFonts w:ascii="Times New Roman" w:hAnsi="Times New Roman"/>
          <w:sz w:val="24"/>
          <w:szCs w:val="24"/>
          <w:lang w:val="es-ES_tradnl"/>
        </w:rPr>
        <w:t>policías municipales hab</w:t>
      </w:r>
      <w:r w:rsidR="002B0739" w:rsidRPr="005667EB">
        <w:rPr>
          <w:rFonts w:ascii="Times New Roman" w:hAnsi="Times New Roman"/>
          <w:sz w:val="24"/>
          <w:szCs w:val="24"/>
          <w:lang w:val="es-ES_tradnl"/>
        </w:rPr>
        <w:t>ían sido detenidos por estar relacionados con ésta y otras masacres de personas migrantes</w:t>
      </w:r>
      <w:r w:rsidR="002B0739" w:rsidRPr="005667EB">
        <w:rPr>
          <w:rStyle w:val="Refdenotaalpie"/>
          <w:rFonts w:ascii="Times New Roman" w:hAnsi="Times New Roman"/>
          <w:sz w:val="24"/>
          <w:szCs w:val="24"/>
          <w:lang w:val="es-ES_tradnl"/>
        </w:rPr>
        <w:footnoteReference w:id="5"/>
      </w:r>
      <w:r w:rsidR="002B0739" w:rsidRPr="005667EB">
        <w:rPr>
          <w:rFonts w:ascii="Times New Roman" w:hAnsi="Times New Roman"/>
          <w:sz w:val="24"/>
          <w:szCs w:val="24"/>
          <w:lang w:val="es-ES_tradnl"/>
        </w:rPr>
        <w:t>.</w:t>
      </w:r>
      <w:r w:rsidR="00C842AA" w:rsidRPr="005667EB">
        <w:rPr>
          <w:rFonts w:ascii="Times New Roman" w:hAnsi="Times New Roman"/>
          <w:sz w:val="24"/>
          <w:szCs w:val="24"/>
          <w:lang w:val="es-ES_tradnl"/>
        </w:rPr>
        <w:t xml:space="preserve"> Debe destacarse que la versión oficial de lo sucedido en San Fernando continúa siendo cuestionada por periodistas y organizaciones de la sociedad civil.</w:t>
      </w:r>
      <w:r w:rsidR="00C842AA" w:rsidRPr="005667EB">
        <w:rPr>
          <w:rStyle w:val="Refdenotaalpie"/>
          <w:rFonts w:ascii="Times New Roman" w:hAnsi="Times New Roman"/>
          <w:sz w:val="24"/>
          <w:szCs w:val="24"/>
          <w:lang w:val="es-ES_tradnl"/>
        </w:rPr>
        <w:footnoteReference w:id="6"/>
      </w:r>
    </w:p>
    <w:p w14:paraId="6620CF96" w14:textId="3C840AEA" w:rsidR="00E44EDD" w:rsidRPr="005667EB" w:rsidRDefault="000B0CF4" w:rsidP="005A5E1E">
      <w:pPr>
        <w:spacing w:after="0" w:line="480" w:lineRule="auto"/>
        <w:contextualSpacing/>
        <w:jc w:val="both"/>
        <w:rPr>
          <w:rFonts w:ascii="Times New Roman" w:hAnsi="Times New Roman"/>
          <w:sz w:val="24"/>
          <w:szCs w:val="24"/>
          <w:lang w:val="es-ES_tradnl"/>
        </w:rPr>
      </w:pPr>
      <w:r w:rsidRPr="005667EB">
        <w:rPr>
          <w:rFonts w:ascii="Times New Roman" w:hAnsi="Times New Roman"/>
          <w:sz w:val="24"/>
          <w:szCs w:val="24"/>
          <w:lang w:val="es-ES_tradnl"/>
        </w:rPr>
        <w:t>Se involucraron en este caso un gran número de actores estatales, sociales e internacionales.</w:t>
      </w:r>
      <w:r w:rsidR="00CC67B4" w:rsidRPr="005667EB">
        <w:rPr>
          <w:rStyle w:val="Refdenotaalpie"/>
          <w:rFonts w:ascii="Times New Roman" w:hAnsi="Times New Roman"/>
          <w:sz w:val="24"/>
          <w:szCs w:val="24"/>
          <w:lang w:val="es-ES_tradnl"/>
        </w:rPr>
        <w:footnoteReference w:id="7"/>
      </w:r>
      <w:r w:rsidRPr="005667EB">
        <w:rPr>
          <w:rFonts w:ascii="Times New Roman" w:hAnsi="Times New Roman"/>
          <w:sz w:val="24"/>
          <w:szCs w:val="24"/>
          <w:lang w:val="es-ES_tradnl"/>
        </w:rPr>
        <w:t xml:space="preserve"> Se puede, por tanto, asegurar que fue un caso que recibió atención. Casi seis años después: ¿qué se hizo y qué se dejó de hacer?</w:t>
      </w:r>
      <w:r w:rsidR="00B66139">
        <w:rPr>
          <w:rFonts w:ascii="Times New Roman" w:hAnsi="Times New Roman"/>
          <w:sz w:val="24"/>
          <w:szCs w:val="24"/>
          <w:lang w:val="es-ES_tradnl"/>
        </w:rPr>
        <w:t>,</w:t>
      </w:r>
      <w:r w:rsidRPr="005667EB">
        <w:rPr>
          <w:rFonts w:ascii="Times New Roman" w:hAnsi="Times New Roman"/>
          <w:sz w:val="24"/>
          <w:szCs w:val="24"/>
          <w:lang w:val="es-ES_tradnl"/>
        </w:rPr>
        <w:t xml:space="preserve"> ¿sabemos la verdad de los hechos? ¿se atendió adecuadamente a las víctimas y sus familias?</w:t>
      </w:r>
      <w:r w:rsidR="00B66139">
        <w:rPr>
          <w:rFonts w:ascii="Times New Roman" w:hAnsi="Times New Roman"/>
          <w:sz w:val="24"/>
          <w:szCs w:val="24"/>
          <w:lang w:val="es-ES_tradnl"/>
        </w:rPr>
        <w:t>,</w:t>
      </w:r>
      <w:r w:rsidR="005E410C" w:rsidRPr="005667EB">
        <w:rPr>
          <w:rFonts w:ascii="Times New Roman" w:hAnsi="Times New Roman"/>
          <w:sz w:val="24"/>
          <w:szCs w:val="24"/>
          <w:lang w:val="es-ES_tradnl"/>
        </w:rPr>
        <w:t xml:space="preserve"> ¿qué falta por hacer? </w:t>
      </w:r>
      <w:r w:rsidR="00CF62BE" w:rsidRPr="005667EB">
        <w:rPr>
          <w:rStyle w:val="Refdenotaalpie"/>
          <w:rFonts w:ascii="Times New Roman" w:hAnsi="Times New Roman"/>
          <w:sz w:val="24"/>
          <w:szCs w:val="24"/>
          <w:lang w:val="es-ES_tradnl"/>
        </w:rPr>
        <w:footnoteReference w:id="8"/>
      </w:r>
      <w:r w:rsidR="00CF62BE" w:rsidRPr="005667EB">
        <w:rPr>
          <w:rFonts w:ascii="Times New Roman" w:hAnsi="Times New Roman"/>
          <w:sz w:val="24"/>
          <w:szCs w:val="24"/>
          <w:lang w:val="es-ES_tradnl"/>
        </w:rPr>
        <w:t xml:space="preserve"> </w:t>
      </w:r>
    </w:p>
    <w:p w14:paraId="6764DD4F" w14:textId="77777777" w:rsidR="00BD1024" w:rsidRPr="005667EB" w:rsidRDefault="00BD1024" w:rsidP="005A5E1E">
      <w:pPr>
        <w:spacing w:after="0" w:line="480" w:lineRule="auto"/>
        <w:contextualSpacing/>
        <w:jc w:val="both"/>
        <w:rPr>
          <w:rFonts w:ascii="Times New Roman" w:hAnsi="Times New Roman"/>
          <w:sz w:val="24"/>
          <w:szCs w:val="24"/>
          <w:lang w:val="es-ES_tradnl"/>
        </w:rPr>
      </w:pPr>
    </w:p>
    <w:p w14:paraId="5A2B28E2" w14:textId="74567990" w:rsidR="0035555A" w:rsidRPr="005667EB" w:rsidRDefault="00F751FC" w:rsidP="005A5E1E">
      <w:pPr>
        <w:spacing w:after="0" w:line="480" w:lineRule="auto"/>
        <w:contextualSpacing/>
        <w:rPr>
          <w:rFonts w:ascii="Times New Roman" w:hAnsi="Times New Roman"/>
          <w:i/>
          <w:sz w:val="24"/>
          <w:szCs w:val="24"/>
        </w:rPr>
      </w:pPr>
      <w:r w:rsidRPr="005667EB">
        <w:rPr>
          <w:rFonts w:ascii="Times New Roman" w:hAnsi="Times New Roman"/>
          <w:i/>
          <w:sz w:val="24"/>
          <w:szCs w:val="24"/>
        </w:rPr>
        <w:lastRenderedPageBreak/>
        <w:t xml:space="preserve">Desaparición de </w:t>
      </w:r>
      <w:r w:rsidR="00A77A96" w:rsidRPr="005667EB">
        <w:rPr>
          <w:rFonts w:ascii="Times New Roman" w:hAnsi="Times New Roman"/>
          <w:i/>
          <w:sz w:val="24"/>
          <w:szCs w:val="24"/>
        </w:rPr>
        <w:t>300</w:t>
      </w:r>
      <w:r w:rsidR="00E64A33" w:rsidRPr="005667EB">
        <w:rPr>
          <w:rFonts w:ascii="Times New Roman" w:hAnsi="Times New Roman"/>
          <w:i/>
          <w:sz w:val="24"/>
          <w:szCs w:val="24"/>
        </w:rPr>
        <w:t xml:space="preserve"> personas</w:t>
      </w:r>
      <w:r w:rsidR="0035555A" w:rsidRPr="005667EB">
        <w:rPr>
          <w:rFonts w:ascii="Times New Roman" w:hAnsi="Times New Roman"/>
          <w:i/>
          <w:sz w:val="24"/>
          <w:szCs w:val="24"/>
        </w:rPr>
        <w:t xml:space="preserve"> en Allende, Coahuila</w:t>
      </w:r>
    </w:p>
    <w:p w14:paraId="5F96691B" w14:textId="0A8519B5" w:rsidR="0034569B" w:rsidRPr="00383CBF" w:rsidRDefault="00F1196C" w:rsidP="005A5E1E">
      <w:pPr>
        <w:spacing w:after="0" w:line="480" w:lineRule="auto"/>
        <w:contextualSpacing/>
        <w:jc w:val="both"/>
        <w:rPr>
          <w:rFonts w:ascii="Times New Roman" w:hAnsi="Times New Roman"/>
          <w:sz w:val="24"/>
          <w:szCs w:val="24"/>
        </w:rPr>
      </w:pPr>
      <w:r w:rsidRPr="005667EB">
        <w:rPr>
          <w:rFonts w:ascii="Times New Roman" w:hAnsi="Times New Roman"/>
          <w:sz w:val="24"/>
          <w:szCs w:val="24"/>
        </w:rPr>
        <w:t>En marzo de 2011</w:t>
      </w:r>
      <w:r w:rsidR="000B0CF4" w:rsidRPr="005667EB">
        <w:rPr>
          <w:rFonts w:ascii="Times New Roman" w:hAnsi="Times New Roman"/>
          <w:sz w:val="24"/>
          <w:szCs w:val="24"/>
        </w:rPr>
        <w:t xml:space="preserve"> el mismo </w:t>
      </w:r>
      <w:r w:rsidR="000B0CF4" w:rsidRPr="00383CBF">
        <w:rPr>
          <w:rFonts w:ascii="Times New Roman" w:hAnsi="Times New Roman"/>
          <w:sz w:val="24"/>
          <w:szCs w:val="24"/>
        </w:rPr>
        <w:t>grup</w:t>
      </w:r>
      <w:r w:rsidR="0034569B" w:rsidRPr="00383CBF">
        <w:rPr>
          <w:rFonts w:ascii="Times New Roman" w:hAnsi="Times New Roman"/>
          <w:sz w:val="24"/>
          <w:szCs w:val="24"/>
        </w:rPr>
        <w:t xml:space="preserve">o delictivo </w:t>
      </w:r>
      <w:r w:rsidR="00C013F6" w:rsidRPr="00383CBF">
        <w:rPr>
          <w:rFonts w:ascii="Times New Roman" w:hAnsi="Times New Roman"/>
          <w:sz w:val="24"/>
          <w:szCs w:val="24"/>
        </w:rPr>
        <w:t xml:space="preserve">que estuvo presuntamente involucrado en la masacre de San Fernando </w:t>
      </w:r>
      <w:r w:rsidR="0034569B" w:rsidRPr="00383CBF">
        <w:rPr>
          <w:rFonts w:ascii="Times New Roman" w:hAnsi="Times New Roman"/>
          <w:sz w:val="24"/>
          <w:szCs w:val="24"/>
        </w:rPr>
        <w:t>(los Zetas) envió</w:t>
      </w:r>
      <w:r w:rsidR="000B0CF4" w:rsidRPr="00383CBF">
        <w:rPr>
          <w:rFonts w:ascii="Times New Roman" w:hAnsi="Times New Roman"/>
          <w:sz w:val="24"/>
          <w:szCs w:val="24"/>
        </w:rPr>
        <w:t xml:space="preserve"> a grupos armados a </w:t>
      </w:r>
      <w:r w:rsidRPr="00383CBF">
        <w:rPr>
          <w:rFonts w:ascii="Times New Roman" w:hAnsi="Times New Roman"/>
          <w:sz w:val="24"/>
          <w:szCs w:val="24"/>
        </w:rPr>
        <w:t>Allende, Coahuila</w:t>
      </w:r>
      <w:r w:rsidR="000B0CF4" w:rsidRPr="00383CBF">
        <w:rPr>
          <w:rFonts w:ascii="Times New Roman" w:hAnsi="Times New Roman"/>
          <w:sz w:val="24"/>
          <w:szCs w:val="24"/>
        </w:rPr>
        <w:t xml:space="preserve"> y según una versión muy difundida detuvieron, ejecutaron y desaparecieron </w:t>
      </w:r>
      <w:r w:rsidRPr="00383CBF">
        <w:rPr>
          <w:rFonts w:ascii="Times New Roman" w:hAnsi="Times New Roman"/>
          <w:sz w:val="24"/>
          <w:szCs w:val="24"/>
        </w:rPr>
        <w:t>a 300 personas</w:t>
      </w:r>
      <w:r w:rsidR="00011608" w:rsidRPr="00383CBF">
        <w:rPr>
          <w:rStyle w:val="Refdenotaalpie"/>
          <w:rFonts w:ascii="Times New Roman" w:hAnsi="Times New Roman"/>
          <w:sz w:val="24"/>
          <w:szCs w:val="24"/>
        </w:rPr>
        <w:footnoteReference w:id="9"/>
      </w:r>
      <w:r w:rsidRPr="00383CBF">
        <w:rPr>
          <w:rFonts w:ascii="Times New Roman" w:hAnsi="Times New Roman"/>
          <w:sz w:val="24"/>
          <w:szCs w:val="24"/>
        </w:rPr>
        <w:t>. La información disponible indica que</w:t>
      </w:r>
      <w:r w:rsidR="000363B4" w:rsidRPr="00383CBF">
        <w:rPr>
          <w:rFonts w:ascii="Times New Roman" w:hAnsi="Times New Roman"/>
          <w:sz w:val="24"/>
          <w:szCs w:val="24"/>
        </w:rPr>
        <w:t xml:space="preserve"> </w:t>
      </w:r>
      <w:r w:rsidR="00E44EDD" w:rsidRPr="00383CBF">
        <w:rPr>
          <w:rFonts w:ascii="Times New Roman" w:hAnsi="Times New Roman"/>
          <w:sz w:val="24"/>
          <w:szCs w:val="24"/>
        </w:rPr>
        <w:t xml:space="preserve">estas acciones fueron motivadas por </w:t>
      </w:r>
      <w:r w:rsidR="000363B4" w:rsidRPr="00383CBF">
        <w:rPr>
          <w:rFonts w:ascii="Times New Roman" w:hAnsi="Times New Roman"/>
          <w:sz w:val="24"/>
          <w:szCs w:val="24"/>
        </w:rPr>
        <w:t>la traic</w:t>
      </w:r>
      <w:r w:rsidR="001115AF" w:rsidRPr="00383CBF">
        <w:rPr>
          <w:rFonts w:ascii="Times New Roman" w:hAnsi="Times New Roman"/>
          <w:sz w:val="24"/>
          <w:szCs w:val="24"/>
        </w:rPr>
        <w:t>ión de dos hombres cercanos al líder del grupo</w:t>
      </w:r>
      <w:r w:rsidR="000363B4" w:rsidRPr="00383CBF">
        <w:rPr>
          <w:rFonts w:ascii="Times New Roman" w:hAnsi="Times New Roman"/>
          <w:sz w:val="24"/>
          <w:szCs w:val="24"/>
        </w:rPr>
        <w:t>. Se dice que l</w:t>
      </w:r>
      <w:r w:rsidRPr="00383CBF">
        <w:rPr>
          <w:rFonts w:ascii="Times New Roman" w:hAnsi="Times New Roman"/>
          <w:sz w:val="24"/>
          <w:szCs w:val="24"/>
        </w:rPr>
        <w:t>a mayoría de los cuerpos fueron incinerados para no dejar rastro</w:t>
      </w:r>
      <w:r w:rsidR="00B35E3A" w:rsidRPr="00383CBF">
        <w:rPr>
          <w:rFonts w:ascii="Times New Roman" w:hAnsi="Times New Roman"/>
          <w:sz w:val="24"/>
          <w:szCs w:val="24"/>
        </w:rPr>
        <w:t xml:space="preserve"> alguno</w:t>
      </w:r>
      <w:r w:rsidR="000363B4" w:rsidRPr="00383CBF">
        <w:rPr>
          <w:rFonts w:ascii="Times New Roman" w:hAnsi="Times New Roman"/>
          <w:sz w:val="24"/>
          <w:szCs w:val="24"/>
        </w:rPr>
        <w:t>. La población guardó</w:t>
      </w:r>
      <w:r w:rsidRPr="00383CBF">
        <w:rPr>
          <w:rFonts w:ascii="Times New Roman" w:hAnsi="Times New Roman"/>
          <w:sz w:val="24"/>
          <w:szCs w:val="24"/>
        </w:rPr>
        <w:t xml:space="preserve"> silencio por temor y lo sucedido fue dado a conocer de forma pública </w:t>
      </w:r>
      <w:r w:rsidR="00981EA4" w:rsidRPr="00383CBF">
        <w:rPr>
          <w:rFonts w:ascii="Times New Roman" w:hAnsi="Times New Roman"/>
          <w:sz w:val="24"/>
          <w:szCs w:val="24"/>
        </w:rPr>
        <w:t xml:space="preserve">hasta </w:t>
      </w:r>
      <w:r w:rsidRPr="00383CBF">
        <w:rPr>
          <w:rFonts w:ascii="Times New Roman" w:hAnsi="Times New Roman"/>
          <w:sz w:val="24"/>
          <w:szCs w:val="24"/>
        </w:rPr>
        <w:t xml:space="preserve">tres años después. </w:t>
      </w:r>
      <w:r w:rsidR="000B0CF4" w:rsidRPr="00383CBF">
        <w:rPr>
          <w:rFonts w:ascii="Times New Roman" w:hAnsi="Times New Roman"/>
          <w:sz w:val="24"/>
          <w:szCs w:val="24"/>
        </w:rPr>
        <w:t>En diciembre de 2014 la Procuraduría de Justicia del Estado de Coahuila aseg</w:t>
      </w:r>
      <w:r w:rsidR="008A7994" w:rsidRPr="00383CBF">
        <w:rPr>
          <w:rFonts w:ascii="Times New Roman" w:hAnsi="Times New Roman"/>
          <w:sz w:val="24"/>
          <w:szCs w:val="24"/>
        </w:rPr>
        <w:t>u</w:t>
      </w:r>
      <w:r w:rsidR="000B0CF4" w:rsidRPr="00383CBF">
        <w:rPr>
          <w:rFonts w:ascii="Times New Roman" w:hAnsi="Times New Roman"/>
          <w:sz w:val="24"/>
          <w:szCs w:val="24"/>
        </w:rPr>
        <w:t>ró no fueron 300 sino 28 los desaparecidos</w:t>
      </w:r>
      <w:r w:rsidR="00032394" w:rsidRPr="00383CBF">
        <w:rPr>
          <w:rStyle w:val="Refdenotaalpie"/>
          <w:rFonts w:ascii="Times New Roman" w:hAnsi="Times New Roman"/>
          <w:sz w:val="24"/>
          <w:szCs w:val="24"/>
        </w:rPr>
        <w:footnoteReference w:id="10"/>
      </w:r>
      <w:r w:rsidR="000B0CF4" w:rsidRPr="00383CBF">
        <w:rPr>
          <w:rFonts w:ascii="Times New Roman" w:hAnsi="Times New Roman"/>
          <w:sz w:val="24"/>
          <w:szCs w:val="24"/>
        </w:rPr>
        <w:t xml:space="preserve">. </w:t>
      </w:r>
    </w:p>
    <w:p w14:paraId="55B04763" w14:textId="7040F6C8" w:rsidR="00E47B6B" w:rsidRPr="005667EB" w:rsidRDefault="00E47B6B" w:rsidP="005A5E1E">
      <w:pPr>
        <w:spacing w:after="0" w:line="480" w:lineRule="auto"/>
        <w:contextualSpacing/>
        <w:jc w:val="both"/>
        <w:rPr>
          <w:rFonts w:ascii="Times New Roman" w:hAnsi="Times New Roman"/>
          <w:sz w:val="24"/>
          <w:szCs w:val="24"/>
        </w:rPr>
      </w:pPr>
      <w:r w:rsidRPr="00383CBF">
        <w:rPr>
          <w:rFonts w:ascii="Times New Roman" w:hAnsi="Times New Roman"/>
          <w:sz w:val="24"/>
          <w:szCs w:val="24"/>
        </w:rPr>
        <w:t xml:space="preserve">Este caso </w:t>
      </w:r>
      <w:r w:rsidR="000B0CF4" w:rsidRPr="00383CBF">
        <w:rPr>
          <w:rFonts w:ascii="Times New Roman" w:hAnsi="Times New Roman"/>
          <w:sz w:val="24"/>
          <w:szCs w:val="24"/>
        </w:rPr>
        <w:t>interesa porque conduce a los mecanismos de negación institucional y social. ¿Cómo pudo</w:t>
      </w:r>
      <w:r w:rsidRPr="00383CBF">
        <w:rPr>
          <w:rFonts w:ascii="Times New Roman" w:hAnsi="Times New Roman"/>
          <w:sz w:val="24"/>
          <w:szCs w:val="24"/>
        </w:rPr>
        <w:t xml:space="preserve"> una tragedia de tal magnitud mantenerse en silencio durante tanto tiempo</w:t>
      </w:r>
      <w:r w:rsidR="008A7994" w:rsidRPr="00383CBF">
        <w:rPr>
          <w:rFonts w:ascii="Times New Roman" w:hAnsi="Times New Roman"/>
          <w:sz w:val="24"/>
          <w:szCs w:val="24"/>
        </w:rPr>
        <w:t>?</w:t>
      </w:r>
      <w:r w:rsidR="004210BD" w:rsidRPr="00383CBF">
        <w:rPr>
          <w:rStyle w:val="Refdenotaalpie"/>
          <w:rFonts w:ascii="Times New Roman" w:hAnsi="Times New Roman"/>
          <w:sz w:val="24"/>
          <w:szCs w:val="24"/>
        </w:rPr>
        <w:footnoteReference w:id="11"/>
      </w:r>
      <w:r w:rsidRPr="00383CBF">
        <w:rPr>
          <w:rFonts w:ascii="Times New Roman" w:hAnsi="Times New Roman"/>
          <w:sz w:val="24"/>
          <w:szCs w:val="24"/>
        </w:rPr>
        <w:t xml:space="preserve"> La actuación de las autoridades involucradas en este caso </w:t>
      </w:r>
      <w:r w:rsidR="000363B4" w:rsidRPr="00383CBF">
        <w:rPr>
          <w:rFonts w:ascii="Times New Roman" w:hAnsi="Times New Roman"/>
          <w:sz w:val="24"/>
          <w:szCs w:val="24"/>
        </w:rPr>
        <w:t>comenzó años después</w:t>
      </w:r>
      <w:r w:rsidR="006816CD" w:rsidRPr="00383CBF">
        <w:rPr>
          <w:rFonts w:ascii="Times New Roman" w:hAnsi="Times New Roman"/>
          <w:sz w:val="24"/>
          <w:szCs w:val="24"/>
        </w:rPr>
        <w:t xml:space="preserve"> de lo ocurrido</w:t>
      </w:r>
      <w:r w:rsidR="004210BD" w:rsidRPr="00383CBF">
        <w:rPr>
          <w:rStyle w:val="Refdenotaalpie"/>
          <w:rFonts w:ascii="Times New Roman" w:hAnsi="Times New Roman"/>
          <w:sz w:val="24"/>
          <w:szCs w:val="24"/>
        </w:rPr>
        <w:footnoteReference w:id="12"/>
      </w:r>
      <w:r w:rsidRPr="00383CBF">
        <w:rPr>
          <w:rFonts w:ascii="Times New Roman" w:hAnsi="Times New Roman"/>
          <w:sz w:val="24"/>
          <w:szCs w:val="24"/>
        </w:rPr>
        <w:t xml:space="preserve">, </w:t>
      </w:r>
      <w:r w:rsidR="00E44EDD" w:rsidRPr="00383CBF">
        <w:rPr>
          <w:rFonts w:ascii="Times New Roman" w:hAnsi="Times New Roman"/>
          <w:sz w:val="24"/>
          <w:szCs w:val="24"/>
        </w:rPr>
        <w:t>lo que dejó</w:t>
      </w:r>
      <w:r w:rsidRPr="00383CBF">
        <w:rPr>
          <w:rFonts w:ascii="Times New Roman" w:hAnsi="Times New Roman"/>
          <w:sz w:val="24"/>
          <w:szCs w:val="24"/>
        </w:rPr>
        <w:t xml:space="preserve"> en completa indefensión a las víctimas y a sus familias</w:t>
      </w:r>
      <w:r w:rsidR="00E44EDD" w:rsidRPr="00383CBF">
        <w:rPr>
          <w:rFonts w:ascii="Times New Roman" w:hAnsi="Times New Roman"/>
          <w:sz w:val="24"/>
          <w:szCs w:val="24"/>
        </w:rPr>
        <w:t>.</w:t>
      </w:r>
      <w:r w:rsidRPr="00383CBF">
        <w:rPr>
          <w:rFonts w:ascii="Times New Roman" w:hAnsi="Times New Roman"/>
          <w:sz w:val="24"/>
          <w:szCs w:val="24"/>
        </w:rPr>
        <w:t xml:space="preserve"> </w:t>
      </w:r>
      <w:r w:rsidR="00FF537B" w:rsidRPr="00383CBF">
        <w:rPr>
          <w:rFonts w:ascii="Times New Roman" w:hAnsi="Times New Roman"/>
          <w:sz w:val="24"/>
          <w:szCs w:val="24"/>
        </w:rPr>
        <w:t>Es importante destacar que a pesar de ciertas acciones realizadas por el Estado</w:t>
      </w:r>
      <w:r w:rsidR="00386255" w:rsidRPr="00383CBF">
        <w:rPr>
          <w:rFonts w:ascii="Times New Roman" w:hAnsi="Times New Roman"/>
          <w:sz w:val="24"/>
          <w:szCs w:val="24"/>
        </w:rPr>
        <w:t>,</w:t>
      </w:r>
      <w:r w:rsidR="00720517" w:rsidRPr="00383CBF">
        <w:rPr>
          <w:rFonts w:ascii="Times New Roman" w:hAnsi="Times New Roman"/>
          <w:sz w:val="24"/>
          <w:szCs w:val="24"/>
        </w:rPr>
        <w:t xml:space="preserve"> como la detención de policías presuntamente involucrados y las disculpas públicas ofrecidas por el gobierno</w:t>
      </w:r>
      <w:r w:rsidR="00FF537B" w:rsidRPr="00383CBF">
        <w:rPr>
          <w:rStyle w:val="Refdenotaalpie"/>
          <w:rFonts w:ascii="Times New Roman" w:hAnsi="Times New Roman"/>
          <w:sz w:val="24"/>
          <w:szCs w:val="24"/>
        </w:rPr>
        <w:footnoteReference w:id="13"/>
      </w:r>
      <w:r w:rsidR="00FF537B" w:rsidRPr="00383CBF">
        <w:rPr>
          <w:rFonts w:ascii="Times New Roman" w:hAnsi="Times New Roman"/>
          <w:sz w:val="24"/>
          <w:szCs w:val="24"/>
        </w:rPr>
        <w:t xml:space="preserve">, </w:t>
      </w:r>
      <w:r w:rsidRPr="00383CBF">
        <w:rPr>
          <w:rFonts w:ascii="Times New Roman" w:hAnsi="Times New Roman"/>
          <w:sz w:val="24"/>
          <w:szCs w:val="24"/>
        </w:rPr>
        <w:t>lo sucedido en Allende no ha sido aún satisfactoriamente esclarecido</w:t>
      </w:r>
      <w:r w:rsidR="00981EA4" w:rsidRPr="00383CBF">
        <w:rPr>
          <w:rFonts w:ascii="Times New Roman" w:hAnsi="Times New Roman"/>
          <w:sz w:val="24"/>
          <w:szCs w:val="24"/>
        </w:rPr>
        <w:t>. Siguen existiendo</w:t>
      </w:r>
      <w:r w:rsidR="003930C6" w:rsidRPr="00383CBF">
        <w:rPr>
          <w:rFonts w:ascii="Times New Roman" w:hAnsi="Times New Roman"/>
          <w:sz w:val="24"/>
          <w:szCs w:val="24"/>
        </w:rPr>
        <w:t xml:space="preserve"> cuestionamientos sobre el número exacto de víctim</w:t>
      </w:r>
      <w:r w:rsidR="003B7659" w:rsidRPr="00383CBF">
        <w:rPr>
          <w:rFonts w:ascii="Times New Roman" w:hAnsi="Times New Roman"/>
          <w:sz w:val="24"/>
          <w:szCs w:val="24"/>
        </w:rPr>
        <w:t>as</w:t>
      </w:r>
      <w:r w:rsidRPr="00383CBF">
        <w:rPr>
          <w:rFonts w:ascii="Times New Roman" w:hAnsi="Times New Roman"/>
          <w:sz w:val="24"/>
          <w:szCs w:val="24"/>
        </w:rPr>
        <w:t xml:space="preserve"> y </w:t>
      </w:r>
      <w:r w:rsidR="00022F64" w:rsidRPr="00383CBF">
        <w:rPr>
          <w:rFonts w:ascii="Times New Roman" w:hAnsi="Times New Roman"/>
          <w:sz w:val="24"/>
          <w:szCs w:val="24"/>
        </w:rPr>
        <w:t xml:space="preserve">el papel </w:t>
      </w:r>
      <w:r w:rsidR="003B7659" w:rsidRPr="00383CBF">
        <w:rPr>
          <w:rFonts w:ascii="Times New Roman" w:hAnsi="Times New Roman"/>
          <w:sz w:val="24"/>
          <w:szCs w:val="24"/>
        </w:rPr>
        <w:t>jugado por</w:t>
      </w:r>
      <w:r w:rsidR="00022F64" w:rsidRPr="00383CBF">
        <w:rPr>
          <w:rFonts w:ascii="Times New Roman" w:hAnsi="Times New Roman"/>
          <w:sz w:val="24"/>
          <w:szCs w:val="24"/>
        </w:rPr>
        <w:t xml:space="preserve"> las </w:t>
      </w:r>
      <w:r w:rsidR="00022F64" w:rsidRPr="00383CBF">
        <w:rPr>
          <w:rFonts w:ascii="Times New Roman" w:hAnsi="Times New Roman"/>
          <w:sz w:val="24"/>
          <w:szCs w:val="24"/>
        </w:rPr>
        <w:lastRenderedPageBreak/>
        <w:t>autoridades locales, quienes</w:t>
      </w:r>
      <w:r w:rsidR="002A58FA" w:rsidRPr="00383CBF">
        <w:rPr>
          <w:rFonts w:ascii="Times New Roman" w:hAnsi="Times New Roman"/>
          <w:sz w:val="24"/>
          <w:szCs w:val="24"/>
        </w:rPr>
        <w:t>,</w:t>
      </w:r>
      <w:r w:rsidR="00022F64" w:rsidRPr="00383CBF">
        <w:rPr>
          <w:rFonts w:ascii="Times New Roman" w:hAnsi="Times New Roman"/>
          <w:sz w:val="24"/>
          <w:szCs w:val="24"/>
        </w:rPr>
        <w:t xml:space="preserve"> </w:t>
      </w:r>
      <w:r w:rsidR="002A58FA" w:rsidRPr="00383CBF">
        <w:rPr>
          <w:rFonts w:ascii="Times New Roman" w:hAnsi="Times New Roman"/>
          <w:sz w:val="24"/>
          <w:szCs w:val="24"/>
        </w:rPr>
        <w:t>au</w:t>
      </w:r>
      <w:r w:rsidR="004210BD" w:rsidRPr="00383CBF">
        <w:rPr>
          <w:rFonts w:ascii="Times New Roman" w:hAnsi="Times New Roman"/>
          <w:sz w:val="24"/>
          <w:szCs w:val="24"/>
        </w:rPr>
        <w:t xml:space="preserve">n </w:t>
      </w:r>
      <w:r w:rsidR="00ED7C8B" w:rsidRPr="00383CBF">
        <w:rPr>
          <w:rFonts w:ascii="Times New Roman" w:hAnsi="Times New Roman"/>
          <w:sz w:val="24"/>
          <w:szCs w:val="24"/>
        </w:rPr>
        <w:t>teniend</w:t>
      </w:r>
      <w:r w:rsidR="004210BD" w:rsidRPr="00383CBF">
        <w:rPr>
          <w:rFonts w:ascii="Times New Roman" w:hAnsi="Times New Roman"/>
          <w:sz w:val="24"/>
          <w:szCs w:val="24"/>
        </w:rPr>
        <w:t>o</w:t>
      </w:r>
      <w:r w:rsidR="002A58FA" w:rsidRPr="00383CBF">
        <w:rPr>
          <w:rFonts w:ascii="Times New Roman" w:hAnsi="Times New Roman"/>
          <w:sz w:val="24"/>
          <w:szCs w:val="24"/>
        </w:rPr>
        <w:t>, presuntamente,</w:t>
      </w:r>
      <w:r w:rsidR="00ED7C8B" w:rsidRPr="00383CBF">
        <w:rPr>
          <w:rFonts w:ascii="Times New Roman" w:hAnsi="Times New Roman"/>
          <w:sz w:val="24"/>
          <w:szCs w:val="24"/>
        </w:rPr>
        <w:t xml:space="preserve"> conocimiento de</w:t>
      </w:r>
      <w:r w:rsidR="004210BD" w:rsidRPr="00383CBF">
        <w:rPr>
          <w:rFonts w:ascii="Times New Roman" w:hAnsi="Times New Roman"/>
          <w:sz w:val="24"/>
          <w:szCs w:val="24"/>
        </w:rPr>
        <w:t xml:space="preserve"> lo que </w:t>
      </w:r>
      <w:r w:rsidR="00386255" w:rsidRPr="00383CBF">
        <w:rPr>
          <w:rFonts w:ascii="Times New Roman" w:hAnsi="Times New Roman"/>
          <w:sz w:val="24"/>
          <w:szCs w:val="24"/>
        </w:rPr>
        <w:t>sucedía</w:t>
      </w:r>
      <w:r w:rsidR="004210BD" w:rsidRPr="00383CBF">
        <w:rPr>
          <w:rFonts w:ascii="Times New Roman" w:hAnsi="Times New Roman"/>
          <w:sz w:val="24"/>
          <w:szCs w:val="24"/>
        </w:rPr>
        <w:t xml:space="preserve"> </w:t>
      </w:r>
      <w:r w:rsidR="003930C6" w:rsidRPr="00383CBF">
        <w:rPr>
          <w:rFonts w:ascii="Times New Roman" w:hAnsi="Times New Roman"/>
          <w:sz w:val="24"/>
          <w:szCs w:val="24"/>
        </w:rPr>
        <w:t>no hicieron nada para evitarlo</w:t>
      </w:r>
      <w:r w:rsidR="004210BD" w:rsidRPr="00383CBF">
        <w:rPr>
          <w:rStyle w:val="Refdenotaalpie"/>
          <w:rFonts w:ascii="Times New Roman" w:hAnsi="Times New Roman"/>
          <w:sz w:val="24"/>
          <w:szCs w:val="24"/>
        </w:rPr>
        <w:footnoteReference w:id="14"/>
      </w:r>
      <w:r w:rsidR="003930C6" w:rsidRPr="00383CBF">
        <w:rPr>
          <w:rFonts w:ascii="Times New Roman" w:hAnsi="Times New Roman"/>
          <w:sz w:val="24"/>
          <w:szCs w:val="24"/>
        </w:rPr>
        <w:t>.</w:t>
      </w:r>
      <w:r w:rsidR="00D2219E" w:rsidRPr="005667EB">
        <w:rPr>
          <w:rFonts w:ascii="Times New Roman" w:hAnsi="Times New Roman"/>
          <w:sz w:val="24"/>
          <w:szCs w:val="24"/>
        </w:rPr>
        <w:t xml:space="preserve"> </w:t>
      </w:r>
    </w:p>
    <w:p w14:paraId="00EF8DA1" w14:textId="77777777" w:rsidR="002F7EB1" w:rsidRPr="005667EB" w:rsidRDefault="002F7EB1" w:rsidP="005A5E1E">
      <w:pPr>
        <w:spacing w:after="0" w:line="480" w:lineRule="auto"/>
        <w:contextualSpacing/>
        <w:jc w:val="both"/>
        <w:rPr>
          <w:rFonts w:ascii="Times New Roman" w:hAnsi="Times New Roman"/>
          <w:sz w:val="24"/>
          <w:szCs w:val="24"/>
        </w:rPr>
      </w:pPr>
    </w:p>
    <w:p w14:paraId="18F31823" w14:textId="656DDA47" w:rsidR="00E64A33" w:rsidRPr="005667EB" w:rsidRDefault="00BD4D83" w:rsidP="005A5E1E">
      <w:pPr>
        <w:tabs>
          <w:tab w:val="left" w:pos="3031"/>
        </w:tabs>
        <w:spacing w:after="0" w:line="480" w:lineRule="auto"/>
        <w:contextualSpacing/>
        <w:rPr>
          <w:rFonts w:ascii="Times New Roman" w:hAnsi="Times New Roman"/>
          <w:b/>
          <w:sz w:val="24"/>
          <w:szCs w:val="24"/>
        </w:rPr>
      </w:pPr>
      <w:r w:rsidRPr="005667EB">
        <w:rPr>
          <w:rFonts w:ascii="Times New Roman" w:hAnsi="Times New Roman"/>
          <w:b/>
          <w:sz w:val="24"/>
          <w:szCs w:val="24"/>
        </w:rPr>
        <w:t>OBJETIVOS GENERALES</w:t>
      </w:r>
    </w:p>
    <w:p w14:paraId="6B0783AE" w14:textId="38E5A0C2" w:rsidR="000B0CF4" w:rsidRPr="005667EB" w:rsidRDefault="005E410C" w:rsidP="005A5E1E">
      <w:pPr>
        <w:tabs>
          <w:tab w:val="left" w:pos="3031"/>
        </w:tabs>
        <w:spacing w:after="0" w:line="480" w:lineRule="auto"/>
        <w:contextualSpacing/>
        <w:jc w:val="both"/>
        <w:rPr>
          <w:rFonts w:ascii="Times New Roman" w:hAnsi="Times New Roman"/>
          <w:sz w:val="24"/>
          <w:szCs w:val="24"/>
        </w:rPr>
      </w:pPr>
      <w:r w:rsidRPr="005667EB">
        <w:rPr>
          <w:rFonts w:ascii="Times New Roman" w:hAnsi="Times New Roman"/>
          <w:sz w:val="24"/>
          <w:szCs w:val="24"/>
        </w:rPr>
        <w:t xml:space="preserve">Esta investigación se propone </w:t>
      </w:r>
      <w:r w:rsidR="000B0CF4" w:rsidRPr="005667EB">
        <w:rPr>
          <w:rFonts w:ascii="Times New Roman" w:hAnsi="Times New Roman"/>
          <w:sz w:val="24"/>
          <w:szCs w:val="24"/>
        </w:rPr>
        <w:t>entender la lógica de la violencia empleada</w:t>
      </w:r>
      <w:r w:rsidR="00DB2818" w:rsidRPr="005667EB">
        <w:rPr>
          <w:rFonts w:ascii="Times New Roman" w:hAnsi="Times New Roman"/>
          <w:sz w:val="24"/>
          <w:szCs w:val="24"/>
        </w:rPr>
        <w:t xml:space="preserve"> y las diferentes reacciones para mejorar la atención a las víctimas y sus familias. Se abordarán, entre otros, los siguientes temas: </w:t>
      </w:r>
    </w:p>
    <w:p w14:paraId="55B33BB6" w14:textId="57E98731" w:rsidR="000B0CF4" w:rsidRPr="005667EB" w:rsidRDefault="000B0CF4" w:rsidP="005A5E1E">
      <w:pPr>
        <w:pStyle w:val="Prrafodelista"/>
        <w:numPr>
          <w:ilvl w:val="0"/>
          <w:numId w:val="7"/>
        </w:numPr>
        <w:spacing w:after="0" w:line="480" w:lineRule="auto"/>
        <w:ind w:left="714" w:hanging="357"/>
        <w:rPr>
          <w:rFonts w:ascii="Times New Roman" w:eastAsia="Times New Roman" w:hAnsi="Times New Roman"/>
          <w:sz w:val="24"/>
          <w:szCs w:val="24"/>
          <w:lang w:val="es-ES" w:eastAsia="es-ES"/>
        </w:rPr>
      </w:pPr>
      <w:r w:rsidRPr="005667EB">
        <w:rPr>
          <w:rFonts w:ascii="Times New Roman" w:eastAsia="Times New Roman" w:hAnsi="Times New Roman"/>
          <w:sz w:val="24"/>
          <w:szCs w:val="24"/>
          <w:lang w:val="es-ES" w:eastAsia="es-ES"/>
        </w:rPr>
        <w:t>Establecer la raci</w:t>
      </w:r>
      <w:r w:rsidR="0034569B" w:rsidRPr="005667EB">
        <w:rPr>
          <w:rFonts w:ascii="Times New Roman" w:eastAsia="Times New Roman" w:hAnsi="Times New Roman"/>
          <w:sz w:val="24"/>
          <w:szCs w:val="24"/>
          <w:lang w:val="es-ES" w:eastAsia="es-ES"/>
        </w:rPr>
        <w:t>onalidad empleada por los Zetas;</w:t>
      </w:r>
      <w:r w:rsidRPr="005667EB">
        <w:rPr>
          <w:rFonts w:ascii="Times New Roman" w:eastAsia="Times New Roman" w:hAnsi="Times New Roman"/>
          <w:sz w:val="24"/>
          <w:szCs w:val="24"/>
          <w:lang w:val="es-ES" w:eastAsia="es-ES"/>
        </w:rPr>
        <w:t xml:space="preserve"> </w:t>
      </w:r>
    </w:p>
    <w:p w14:paraId="10AC6D73" w14:textId="1AAFDB44" w:rsidR="00AF0A94" w:rsidRPr="005667EB" w:rsidRDefault="00AF0A94" w:rsidP="005A5E1E">
      <w:pPr>
        <w:pStyle w:val="Prrafodelista"/>
        <w:numPr>
          <w:ilvl w:val="0"/>
          <w:numId w:val="7"/>
        </w:numPr>
        <w:spacing w:after="0" w:line="480" w:lineRule="auto"/>
        <w:ind w:left="714" w:hanging="357"/>
        <w:rPr>
          <w:rFonts w:ascii="Times New Roman" w:eastAsia="Times New Roman" w:hAnsi="Times New Roman"/>
          <w:sz w:val="24"/>
          <w:szCs w:val="24"/>
          <w:lang w:val="es-ES" w:eastAsia="es-ES"/>
        </w:rPr>
      </w:pPr>
      <w:r w:rsidRPr="005667EB">
        <w:rPr>
          <w:rFonts w:ascii="Times New Roman" w:eastAsia="Times New Roman" w:hAnsi="Times New Roman"/>
          <w:sz w:val="24"/>
          <w:szCs w:val="24"/>
          <w:lang w:val="es-ES" w:eastAsia="es-ES"/>
        </w:rPr>
        <w:t>Esclar</w:t>
      </w:r>
      <w:r w:rsidR="0034569B" w:rsidRPr="005667EB">
        <w:rPr>
          <w:rFonts w:ascii="Times New Roman" w:eastAsia="Times New Roman" w:hAnsi="Times New Roman"/>
          <w:sz w:val="24"/>
          <w:szCs w:val="24"/>
          <w:lang w:val="es-ES" w:eastAsia="es-ES"/>
        </w:rPr>
        <w:t>ecer qué sucedió en ambos casos;</w:t>
      </w:r>
    </w:p>
    <w:p w14:paraId="48301CD8" w14:textId="0A2BCD47" w:rsidR="000B0CF4" w:rsidRPr="005667EB" w:rsidRDefault="000B0CF4" w:rsidP="005A5E1E">
      <w:pPr>
        <w:pStyle w:val="Prrafodelista"/>
        <w:numPr>
          <w:ilvl w:val="0"/>
          <w:numId w:val="7"/>
        </w:numPr>
        <w:spacing w:after="0" w:line="480" w:lineRule="auto"/>
        <w:ind w:left="714" w:hanging="357"/>
        <w:jc w:val="both"/>
        <w:rPr>
          <w:rFonts w:ascii="Times New Roman" w:eastAsia="Times New Roman" w:hAnsi="Times New Roman"/>
          <w:sz w:val="24"/>
          <w:szCs w:val="24"/>
          <w:lang w:val="es-ES" w:eastAsia="es-ES"/>
        </w:rPr>
      </w:pPr>
      <w:r w:rsidRPr="005667EB">
        <w:rPr>
          <w:rFonts w:ascii="Times New Roman" w:eastAsia="Times New Roman" w:hAnsi="Times New Roman"/>
          <w:sz w:val="24"/>
          <w:szCs w:val="24"/>
          <w:lang w:val="es-ES" w:eastAsia="es-ES"/>
        </w:rPr>
        <w:t xml:space="preserve">Entender por qué hubo tanta diferencia en </w:t>
      </w:r>
      <w:r w:rsidR="00E64A33" w:rsidRPr="005667EB">
        <w:rPr>
          <w:rFonts w:ascii="Times New Roman" w:eastAsia="Times New Roman" w:hAnsi="Times New Roman"/>
          <w:sz w:val="24"/>
          <w:szCs w:val="24"/>
          <w:lang w:val="es-ES" w:eastAsia="es-ES"/>
        </w:rPr>
        <w:t xml:space="preserve">la respuesta </w:t>
      </w:r>
      <w:r w:rsidRPr="005667EB">
        <w:rPr>
          <w:rFonts w:ascii="Times New Roman" w:eastAsia="Times New Roman" w:hAnsi="Times New Roman"/>
          <w:sz w:val="24"/>
          <w:szCs w:val="24"/>
          <w:lang w:val="es-ES" w:eastAsia="es-ES"/>
        </w:rPr>
        <w:t xml:space="preserve">de </w:t>
      </w:r>
      <w:r w:rsidR="00E64A33" w:rsidRPr="005667EB">
        <w:rPr>
          <w:rFonts w:ascii="Times New Roman" w:eastAsia="Times New Roman" w:hAnsi="Times New Roman"/>
          <w:sz w:val="24"/>
          <w:szCs w:val="24"/>
          <w:lang w:val="es-ES" w:eastAsia="es-ES"/>
        </w:rPr>
        <w:t>las instituciones del Estado, los medios de comunicación</w:t>
      </w:r>
      <w:r w:rsidR="00AF0A94" w:rsidRPr="005667EB">
        <w:rPr>
          <w:rFonts w:ascii="Times New Roman" w:eastAsia="Times New Roman" w:hAnsi="Times New Roman"/>
          <w:sz w:val="24"/>
          <w:szCs w:val="24"/>
          <w:lang w:val="es-ES" w:eastAsia="es-ES"/>
        </w:rPr>
        <w:t xml:space="preserve"> y otras organizaciones,</w:t>
      </w:r>
      <w:r w:rsidR="00E64A33" w:rsidRPr="005667EB">
        <w:rPr>
          <w:rFonts w:ascii="Times New Roman" w:eastAsia="Times New Roman" w:hAnsi="Times New Roman"/>
          <w:sz w:val="24"/>
          <w:szCs w:val="24"/>
          <w:lang w:val="es-ES" w:eastAsia="es-ES"/>
        </w:rPr>
        <w:t xml:space="preserve"> la comunidad internaci</w:t>
      </w:r>
      <w:r w:rsidR="0034569B" w:rsidRPr="005667EB">
        <w:rPr>
          <w:rFonts w:ascii="Times New Roman" w:eastAsia="Times New Roman" w:hAnsi="Times New Roman"/>
          <w:sz w:val="24"/>
          <w:szCs w:val="24"/>
          <w:lang w:val="es-ES" w:eastAsia="es-ES"/>
        </w:rPr>
        <w:t>onal y otros actores relevantes;</w:t>
      </w:r>
      <w:r w:rsidR="00E64A33" w:rsidRPr="005667EB">
        <w:rPr>
          <w:rFonts w:ascii="Times New Roman" w:eastAsia="Times New Roman" w:hAnsi="Times New Roman"/>
          <w:sz w:val="24"/>
          <w:szCs w:val="24"/>
          <w:lang w:val="es-ES" w:eastAsia="es-ES"/>
        </w:rPr>
        <w:t xml:space="preserve"> </w:t>
      </w:r>
    </w:p>
    <w:p w14:paraId="39318EBB" w14:textId="2F60F6EE" w:rsidR="000B0CF4" w:rsidRPr="005667EB" w:rsidRDefault="000B0CF4" w:rsidP="005A5E1E">
      <w:pPr>
        <w:pStyle w:val="Prrafodelista"/>
        <w:numPr>
          <w:ilvl w:val="0"/>
          <w:numId w:val="7"/>
        </w:numPr>
        <w:spacing w:after="0" w:line="480" w:lineRule="auto"/>
        <w:ind w:left="714" w:hanging="357"/>
        <w:jc w:val="both"/>
        <w:rPr>
          <w:rFonts w:ascii="Times New Roman" w:eastAsia="Times New Roman" w:hAnsi="Times New Roman"/>
          <w:sz w:val="24"/>
          <w:szCs w:val="24"/>
          <w:lang w:val="es-ES" w:eastAsia="es-ES"/>
        </w:rPr>
      </w:pPr>
      <w:r w:rsidRPr="005667EB">
        <w:rPr>
          <w:rFonts w:ascii="Times New Roman" w:eastAsia="Times New Roman" w:hAnsi="Times New Roman"/>
          <w:sz w:val="24"/>
          <w:szCs w:val="24"/>
          <w:lang w:val="es-ES" w:eastAsia="es-ES"/>
        </w:rPr>
        <w:t>Detectar los factores tras la acción o inacción de las instituciones del Estado, de la sociedad organizada y</w:t>
      </w:r>
      <w:r w:rsidR="0034569B" w:rsidRPr="005667EB">
        <w:rPr>
          <w:rFonts w:ascii="Times New Roman" w:eastAsia="Times New Roman" w:hAnsi="Times New Roman"/>
          <w:sz w:val="24"/>
          <w:szCs w:val="24"/>
          <w:lang w:val="es-ES" w:eastAsia="es-ES"/>
        </w:rPr>
        <w:t xml:space="preserve"> de las víctimas y sus familias;</w:t>
      </w:r>
      <w:r w:rsidRPr="005667EB">
        <w:rPr>
          <w:rFonts w:ascii="Times New Roman" w:eastAsia="Times New Roman" w:hAnsi="Times New Roman"/>
          <w:sz w:val="24"/>
          <w:szCs w:val="24"/>
          <w:lang w:val="es-ES" w:eastAsia="es-ES"/>
        </w:rPr>
        <w:t xml:space="preserve"> </w:t>
      </w:r>
    </w:p>
    <w:p w14:paraId="3ACC70BB" w14:textId="488B253F" w:rsidR="00AF0A94" w:rsidRPr="005667EB" w:rsidRDefault="0034569B" w:rsidP="005A5E1E">
      <w:pPr>
        <w:pStyle w:val="Prrafodelista"/>
        <w:numPr>
          <w:ilvl w:val="0"/>
          <w:numId w:val="7"/>
        </w:numPr>
        <w:spacing w:after="0" w:line="480" w:lineRule="auto"/>
        <w:ind w:left="714" w:hanging="357"/>
        <w:jc w:val="both"/>
        <w:rPr>
          <w:rFonts w:ascii="Times New Roman" w:eastAsia="Times New Roman" w:hAnsi="Times New Roman"/>
          <w:sz w:val="24"/>
          <w:szCs w:val="24"/>
          <w:lang w:val="es-ES" w:eastAsia="es-ES"/>
        </w:rPr>
      </w:pPr>
      <w:r w:rsidRPr="005667EB">
        <w:rPr>
          <w:rFonts w:ascii="Times New Roman" w:eastAsia="Times New Roman" w:hAnsi="Times New Roman"/>
          <w:sz w:val="24"/>
          <w:szCs w:val="24"/>
          <w:lang w:val="es-ES" w:eastAsia="es-ES"/>
        </w:rPr>
        <w:t>Establecer qué</w:t>
      </w:r>
      <w:r w:rsidR="000B0CF4" w:rsidRPr="005667EB">
        <w:rPr>
          <w:rFonts w:ascii="Times New Roman" w:eastAsia="Times New Roman" w:hAnsi="Times New Roman"/>
          <w:sz w:val="24"/>
          <w:szCs w:val="24"/>
          <w:lang w:val="es-ES" w:eastAsia="es-ES"/>
        </w:rPr>
        <w:t xml:space="preserve"> normas </w:t>
      </w:r>
      <w:r w:rsidR="00E40D93" w:rsidRPr="005667EB">
        <w:rPr>
          <w:rFonts w:ascii="Times New Roman" w:eastAsia="Times New Roman" w:hAnsi="Times New Roman"/>
          <w:sz w:val="24"/>
          <w:szCs w:val="24"/>
          <w:lang w:val="es-ES" w:eastAsia="es-ES"/>
        </w:rPr>
        <w:t xml:space="preserve">y estándares </w:t>
      </w:r>
      <w:r w:rsidR="000B0CF4" w:rsidRPr="005667EB">
        <w:rPr>
          <w:rFonts w:ascii="Times New Roman" w:eastAsia="Times New Roman" w:hAnsi="Times New Roman"/>
          <w:sz w:val="24"/>
          <w:szCs w:val="24"/>
          <w:lang w:val="es-ES" w:eastAsia="es-ES"/>
        </w:rPr>
        <w:t xml:space="preserve">legales </w:t>
      </w:r>
      <w:r w:rsidR="00953E0C" w:rsidRPr="005667EB">
        <w:rPr>
          <w:rFonts w:ascii="Times New Roman" w:eastAsia="Times New Roman" w:hAnsi="Times New Roman"/>
          <w:sz w:val="24"/>
          <w:szCs w:val="24"/>
          <w:lang w:val="es-ES" w:eastAsia="es-ES"/>
        </w:rPr>
        <w:t xml:space="preserve">nacionales e internacionales </w:t>
      </w:r>
      <w:r w:rsidRPr="005667EB">
        <w:rPr>
          <w:rFonts w:ascii="Times New Roman" w:eastAsia="Times New Roman" w:hAnsi="Times New Roman"/>
          <w:sz w:val="24"/>
          <w:szCs w:val="24"/>
          <w:lang w:val="es-ES" w:eastAsia="es-ES"/>
        </w:rPr>
        <w:t>se cumplieron o violaron y quié</w:t>
      </w:r>
      <w:r w:rsidR="000B0CF4" w:rsidRPr="005667EB">
        <w:rPr>
          <w:rFonts w:ascii="Times New Roman" w:eastAsia="Times New Roman" w:hAnsi="Times New Roman"/>
          <w:sz w:val="24"/>
          <w:szCs w:val="24"/>
          <w:lang w:val="es-ES" w:eastAsia="es-ES"/>
        </w:rPr>
        <w:t>nes fueron los</w:t>
      </w:r>
      <w:r w:rsidRPr="005667EB">
        <w:rPr>
          <w:rFonts w:ascii="Times New Roman" w:eastAsia="Times New Roman" w:hAnsi="Times New Roman"/>
          <w:sz w:val="24"/>
          <w:szCs w:val="24"/>
          <w:lang w:val="es-ES" w:eastAsia="es-ES"/>
        </w:rPr>
        <w:t xml:space="preserve"> responsables;</w:t>
      </w:r>
    </w:p>
    <w:p w14:paraId="6BC510BC" w14:textId="174E1CB4" w:rsidR="00AF0A94" w:rsidRPr="005667EB" w:rsidRDefault="00DB2818" w:rsidP="005A5E1E">
      <w:pPr>
        <w:pStyle w:val="Prrafodelista"/>
        <w:numPr>
          <w:ilvl w:val="0"/>
          <w:numId w:val="7"/>
        </w:numPr>
        <w:spacing w:after="0" w:line="480" w:lineRule="auto"/>
        <w:rPr>
          <w:rFonts w:ascii="Times New Roman" w:eastAsia="Times New Roman" w:hAnsi="Times New Roman"/>
          <w:sz w:val="24"/>
          <w:szCs w:val="24"/>
          <w:lang w:val="es-ES" w:eastAsia="es-ES"/>
        </w:rPr>
      </w:pPr>
      <w:r w:rsidRPr="005667EB">
        <w:rPr>
          <w:rFonts w:ascii="Times New Roman" w:hAnsi="Times New Roman"/>
          <w:sz w:val="24"/>
          <w:szCs w:val="24"/>
        </w:rPr>
        <w:t xml:space="preserve">Sugerir a la CEAV que haga </w:t>
      </w:r>
      <w:r w:rsidR="00E64A33" w:rsidRPr="005667EB">
        <w:rPr>
          <w:rFonts w:ascii="Times New Roman" w:hAnsi="Times New Roman"/>
          <w:sz w:val="24"/>
          <w:szCs w:val="24"/>
        </w:rPr>
        <w:t xml:space="preserve">recomendaciones </w:t>
      </w:r>
      <w:r w:rsidRPr="005667EB">
        <w:rPr>
          <w:rFonts w:ascii="Times New Roman" w:hAnsi="Times New Roman"/>
          <w:sz w:val="24"/>
          <w:szCs w:val="24"/>
        </w:rPr>
        <w:t>a las dependencias de</w:t>
      </w:r>
      <w:r w:rsidR="00E64A33" w:rsidRPr="005667EB">
        <w:rPr>
          <w:rFonts w:ascii="Times New Roman" w:hAnsi="Times New Roman"/>
          <w:sz w:val="24"/>
          <w:szCs w:val="24"/>
        </w:rPr>
        <w:t>l Estado mexicano</w:t>
      </w:r>
      <w:r w:rsidRPr="005667EB">
        <w:rPr>
          <w:rFonts w:ascii="Times New Roman" w:hAnsi="Times New Roman"/>
          <w:sz w:val="24"/>
          <w:szCs w:val="24"/>
        </w:rPr>
        <w:t xml:space="preserve"> dando el fundamento legal para cada caso</w:t>
      </w:r>
      <w:r w:rsidR="0034569B" w:rsidRPr="005667EB">
        <w:rPr>
          <w:rFonts w:ascii="Times New Roman" w:hAnsi="Times New Roman"/>
          <w:sz w:val="24"/>
          <w:szCs w:val="24"/>
        </w:rPr>
        <w:t>;</w:t>
      </w:r>
    </w:p>
    <w:p w14:paraId="2AAFDA24" w14:textId="37506C1F" w:rsidR="00DB2818" w:rsidRPr="005667EB" w:rsidRDefault="00DB2818" w:rsidP="005A5E1E">
      <w:pPr>
        <w:pStyle w:val="Prrafodelista"/>
        <w:numPr>
          <w:ilvl w:val="0"/>
          <w:numId w:val="7"/>
        </w:numPr>
        <w:spacing w:after="0" w:line="480" w:lineRule="auto"/>
        <w:rPr>
          <w:rFonts w:ascii="Times New Roman" w:eastAsia="Times New Roman" w:hAnsi="Times New Roman"/>
          <w:sz w:val="24"/>
          <w:szCs w:val="24"/>
          <w:lang w:val="es-ES" w:eastAsia="es-ES"/>
        </w:rPr>
      </w:pPr>
      <w:r w:rsidRPr="005667EB">
        <w:rPr>
          <w:rFonts w:ascii="Times New Roman" w:hAnsi="Times New Roman"/>
          <w:sz w:val="24"/>
          <w:szCs w:val="24"/>
        </w:rPr>
        <w:t xml:space="preserve">Hacer recomendaciones a otros actores; </w:t>
      </w:r>
    </w:p>
    <w:p w14:paraId="7A2CCAB6" w14:textId="47D7BC12" w:rsidR="00B00F6E" w:rsidRPr="005667EB" w:rsidRDefault="0034569B" w:rsidP="005A5E1E">
      <w:pPr>
        <w:pStyle w:val="Prrafodelista"/>
        <w:numPr>
          <w:ilvl w:val="0"/>
          <w:numId w:val="7"/>
        </w:numPr>
        <w:spacing w:after="0" w:line="480" w:lineRule="auto"/>
        <w:ind w:left="714" w:hanging="357"/>
        <w:jc w:val="both"/>
        <w:rPr>
          <w:rFonts w:ascii="Times New Roman" w:eastAsia="Times New Roman" w:hAnsi="Times New Roman"/>
          <w:sz w:val="24"/>
          <w:szCs w:val="24"/>
          <w:lang w:val="es-ES" w:eastAsia="es-ES"/>
        </w:rPr>
      </w:pPr>
      <w:r w:rsidRPr="005667EB">
        <w:rPr>
          <w:rFonts w:ascii="Times New Roman" w:hAnsi="Times New Roman"/>
          <w:sz w:val="24"/>
          <w:szCs w:val="24"/>
        </w:rPr>
        <w:t xml:space="preserve">Publicar en formato electrónico </w:t>
      </w:r>
      <w:r w:rsidR="0035555A" w:rsidRPr="005667EB">
        <w:rPr>
          <w:rFonts w:ascii="Times New Roman" w:hAnsi="Times New Roman"/>
          <w:sz w:val="24"/>
          <w:szCs w:val="24"/>
        </w:rPr>
        <w:t>el análisis realizado</w:t>
      </w:r>
      <w:r w:rsidRPr="005667EB">
        <w:rPr>
          <w:rFonts w:ascii="Times New Roman" w:hAnsi="Times New Roman"/>
          <w:sz w:val="24"/>
          <w:szCs w:val="24"/>
        </w:rPr>
        <w:t xml:space="preserve"> por el equipo de investigación;</w:t>
      </w:r>
    </w:p>
    <w:p w14:paraId="6DC4331A" w14:textId="128740C0" w:rsidR="00AF0A94" w:rsidRPr="005667EB" w:rsidRDefault="00AF0A94" w:rsidP="005A5E1E">
      <w:pPr>
        <w:pStyle w:val="Prrafodelista"/>
        <w:numPr>
          <w:ilvl w:val="0"/>
          <w:numId w:val="7"/>
        </w:numPr>
        <w:spacing w:after="0" w:line="480" w:lineRule="auto"/>
        <w:jc w:val="both"/>
        <w:rPr>
          <w:rFonts w:ascii="Times New Roman" w:eastAsia="Times New Roman" w:hAnsi="Times New Roman"/>
          <w:sz w:val="24"/>
          <w:szCs w:val="24"/>
          <w:lang w:val="es-ES" w:eastAsia="es-ES"/>
        </w:rPr>
      </w:pPr>
      <w:r w:rsidRPr="005667EB">
        <w:rPr>
          <w:rFonts w:ascii="Times New Roman" w:hAnsi="Times New Roman"/>
          <w:sz w:val="24"/>
          <w:szCs w:val="24"/>
        </w:rPr>
        <w:lastRenderedPageBreak/>
        <w:t xml:space="preserve">Con los materiales reunidos, </w:t>
      </w:r>
      <w:r w:rsidR="0034569B" w:rsidRPr="005667EB">
        <w:rPr>
          <w:rFonts w:ascii="Times New Roman" w:hAnsi="Times New Roman"/>
          <w:sz w:val="24"/>
          <w:szCs w:val="24"/>
        </w:rPr>
        <w:t>crear</w:t>
      </w:r>
      <w:r w:rsidRPr="005667EB">
        <w:rPr>
          <w:rFonts w:ascii="Times New Roman" w:hAnsi="Times New Roman"/>
          <w:sz w:val="24"/>
          <w:szCs w:val="24"/>
        </w:rPr>
        <w:t xml:space="preserve"> una sección especial en la Colección digitalizada Memoria y Verdad de la Biblioteca Daniel Cosío Villegas de El Colegio de México. </w:t>
      </w:r>
    </w:p>
    <w:p w14:paraId="5F3D707F" w14:textId="05632F38" w:rsidR="0034569B" w:rsidRPr="005667EB" w:rsidRDefault="008B7039" w:rsidP="005A5E1E">
      <w:pPr>
        <w:spacing w:after="0" w:line="480" w:lineRule="auto"/>
        <w:contextualSpacing/>
        <w:jc w:val="both"/>
        <w:rPr>
          <w:rFonts w:ascii="Times New Roman" w:hAnsi="Times New Roman"/>
          <w:sz w:val="24"/>
          <w:szCs w:val="24"/>
        </w:rPr>
      </w:pPr>
      <w:r>
        <w:rPr>
          <w:rFonts w:ascii="Times New Roman" w:hAnsi="Times New Roman"/>
          <w:sz w:val="24"/>
          <w:szCs w:val="24"/>
        </w:rPr>
        <w:tab/>
      </w:r>
      <w:r w:rsidR="00AF0A94" w:rsidRPr="005667EB">
        <w:rPr>
          <w:rFonts w:ascii="Times New Roman" w:hAnsi="Times New Roman"/>
          <w:sz w:val="24"/>
          <w:szCs w:val="24"/>
        </w:rPr>
        <w:t>Un supuesto fundamental es que la CEAV se encargará de obtener los expedientes completos de las actuaciones realizadas por el Estado mexicano en sus distintos niveles, para proporcionarlos al equipo de investigación.</w:t>
      </w:r>
    </w:p>
    <w:p w14:paraId="3840123A" w14:textId="77777777" w:rsidR="00BD4D83" w:rsidRPr="005667EB" w:rsidRDefault="00BD4D83" w:rsidP="005A5E1E">
      <w:pPr>
        <w:spacing w:after="0" w:line="480" w:lineRule="auto"/>
        <w:contextualSpacing/>
        <w:jc w:val="both"/>
        <w:rPr>
          <w:rFonts w:ascii="Times New Roman" w:hAnsi="Times New Roman"/>
          <w:sz w:val="24"/>
          <w:szCs w:val="24"/>
        </w:rPr>
      </w:pPr>
    </w:p>
    <w:p w14:paraId="1D106FF0" w14:textId="68F2F814" w:rsidR="00E64A33" w:rsidRPr="005667EB" w:rsidRDefault="001C2B4E" w:rsidP="005A5E1E">
      <w:pPr>
        <w:spacing w:after="0" w:line="480" w:lineRule="auto"/>
        <w:contextualSpacing/>
        <w:rPr>
          <w:rFonts w:ascii="Times New Roman" w:hAnsi="Times New Roman"/>
          <w:b/>
          <w:sz w:val="24"/>
          <w:szCs w:val="24"/>
        </w:rPr>
      </w:pPr>
      <w:r w:rsidRPr="005667EB">
        <w:rPr>
          <w:rFonts w:ascii="Times New Roman" w:hAnsi="Times New Roman"/>
          <w:b/>
          <w:sz w:val="24"/>
          <w:szCs w:val="24"/>
        </w:rPr>
        <w:t xml:space="preserve">ETAPAS </w:t>
      </w:r>
    </w:p>
    <w:p w14:paraId="278AE2C6" w14:textId="34A58DB7" w:rsidR="000F4278" w:rsidRPr="005667EB" w:rsidRDefault="00E64A33" w:rsidP="005A5E1E">
      <w:pPr>
        <w:pStyle w:val="Prrafodelista"/>
        <w:numPr>
          <w:ilvl w:val="0"/>
          <w:numId w:val="5"/>
        </w:numPr>
        <w:spacing w:after="0" w:line="480" w:lineRule="auto"/>
        <w:ind w:left="357" w:hanging="357"/>
        <w:jc w:val="both"/>
        <w:rPr>
          <w:rFonts w:ascii="Times New Roman" w:hAnsi="Times New Roman"/>
          <w:sz w:val="24"/>
          <w:szCs w:val="24"/>
        </w:rPr>
      </w:pPr>
      <w:r w:rsidRPr="005667EB">
        <w:rPr>
          <w:rFonts w:ascii="Times New Roman" w:hAnsi="Times New Roman"/>
          <w:b/>
          <w:sz w:val="24"/>
          <w:szCs w:val="24"/>
        </w:rPr>
        <w:t>Primera etapa (marzo</w:t>
      </w:r>
      <w:r w:rsidR="0034569B" w:rsidRPr="005667EB">
        <w:rPr>
          <w:rFonts w:ascii="Times New Roman" w:hAnsi="Times New Roman"/>
          <w:b/>
          <w:sz w:val="24"/>
          <w:szCs w:val="24"/>
        </w:rPr>
        <w:t>-abril</w:t>
      </w:r>
      <w:r w:rsidRPr="005667EB">
        <w:rPr>
          <w:rFonts w:ascii="Times New Roman" w:hAnsi="Times New Roman"/>
          <w:b/>
          <w:sz w:val="24"/>
          <w:szCs w:val="24"/>
        </w:rPr>
        <w:t xml:space="preserve"> 2016):</w:t>
      </w:r>
      <w:r w:rsidRPr="005667EB">
        <w:rPr>
          <w:rFonts w:ascii="Times New Roman" w:hAnsi="Times New Roman"/>
          <w:sz w:val="24"/>
          <w:szCs w:val="24"/>
        </w:rPr>
        <w:t xml:space="preserve"> </w:t>
      </w:r>
      <w:r w:rsidR="00AF0A94" w:rsidRPr="005667EB">
        <w:rPr>
          <w:rFonts w:ascii="Times New Roman" w:hAnsi="Times New Roman"/>
          <w:sz w:val="24"/>
          <w:szCs w:val="24"/>
        </w:rPr>
        <w:t>R</w:t>
      </w:r>
      <w:r w:rsidRPr="005667EB">
        <w:rPr>
          <w:rFonts w:ascii="Times New Roman" w:hAnsi="Times New Roman"/>
          <w:sz w:val="24"/>
          <w:szCs w:val="24"/>
        </w:rPr>
        <w:t xml:space="preserve">ecopilación de información generada por autoridades, medios de comunicación, organizaciones de la sociedad civil, organismos internacionales e instituciones académicas. </w:t>
      </w:r>
      <w:r w:rsidR="00AF0A94" w:rsidRPr="005667EB">
        <w:rPr>
          <w:rFonts w:ascii="Times New Roman" w:hAnsi="Times New Roman"/>
          <w:sz w:val="24"/>
          <w:szCs w:val="24"/>
        </w:rPr>
        <w:t xml:space="preserve">La búsqueda se hará en la Ciudad de México, Tamaulipas, Coahuila y el extranjero. </w:t>
      </w:r>
      <w:r w:rsidR="003A3842" w:rsidRPr="005667EB">
        <w:rPr>
          <w:rFonts w:ascii="Times New Roman" w:hAnsi="Times New Roman"/>
          <w:sz w:val="24"/>
          <w:szCs w:val="24"/>
        </w:rPr>
        <w:t>Se identificarán a los asistentes de investigación que se encontrarán en Tamaulipas y Coahuila.</w:t>
      </w:r>
    </w:p>
    <w:p w14:paraId="3CF69CF3" w14:textId="77777777" w:rsidR="00BD4D83" w:rsidRPr="005667EB" w:rsidRDefault="00E64A33" w:rsidP="005A5E1E">
      <w:pPr>
        <w:pStyle w:val="Prrafodelista"/>
        <w:numPr>
          <w:ilvl w:val="0"/>
          <w:numId w:val="5"/>
        </w:numPr>
        <w:spacing w:after="0" w:line="480" w:lineRule="auto"/>
        <w:jc w:val="both"/>
        <w:rPr>
          <w:rFonts w:ascii="Times New Roman" w:hAnsi="Times New Roman"/>
          <w:sz w:val="24"/>
          <w:szCs w:val="24"/>
        </w:rPr>
      </w:pPr>
      <w:r w:rsidRPr="005667EB">
        <w:rPr>
          <w:rFonts w:ascii="Times New Roman" w:hAnsi="Times New Roman"/>
          <w:b/>
          <w:sz w:val="24"/>
          <w:szCs w:val="24"/>
        </w:rPr>
        <w:t>Segunda etapa (</w:t>
      </w:r>
      <w:r w:rsidR="00AF0A94" w:rsidRPr="005667EB">
        <w:rPr>
          <w:rFonts w:ascii="Times New Roman" w:hAnsi="Times New Roman"/>
          <w:b/>
          <w:sz w:val="24"/>
          <w:szCs w:val="24"/>
        </w:rPr>
        <w:t>mayo</w:t>
      </w:r>
      <w:r w:rsidRPr="005667EB">
        <w:rPr>
          <w:rFonts w:ascii="Times New Roman" w:hAnsi="Times New Roman"/>
          <w:b/>
          <w:sz w:val="24"/>
          <w:szCs w:val="24"/>
        </w:rPr>
        <w:t>-agosto 2016):</w:t>
      </w:r>
      <w:r w:rsidRPr="005667EB">
        <w:rPr>
          <w:rFonts w:ascii="Times New Roman" w:hAnsi="Times New Roman"/>
          <w:sz w:val="24"/>
          <w:szCs w:val="24"/>
        </w:rPr>
        <w:t xml:space="preserve"> </w:t>
      </w:r>
      <w:r w:rsidR="00AF0A94" w:rsidRPr="005667EB">
        <w:rPr>
          <w:rFonts w:ascii="Times New Roman" w:hAnsi="Times New Roman"/>
          <w:sz w:val="24"/>
          <w:szCs w:val="24"/>
        </w:rPr>
        <w:t xml:space="preserve">El </w:t>
      </w:r>
      <w:r w:rsidR="00BF78DE" w:rsidRPr="005667EB">
        <w:rPr>
          <w:rFonts w:ascii="Times New Roman" w:hAnsi="Times New Roman"/>
          <w:sz w:val="24"/>
          <w:szCs w:val="24"/>
        </w:rPr>
        <w:t>análisis</w:t>
      </w:r>
      <w:r w:rsidR="00AF0A94" w:rsidRPr="005667EB">
        <w:rPr>
          <w:rFonts w:ascii="Times New Roman" w:hAnsi="Times New Roman"/>
          <w:sz w:val="24"/>
          <w:szCs w:val="24"/>
        </w:rPr>
        <w:t xml:space="preserve"> tendrá dos vertientes: </w:t>
      </w:r>
    </w:p>
    <w:p w14:paraId="3A009D63" w14:textId="77777777" w:rsidR="00B17F1D" w:rsidRDefault="00BD4D83" w:rsidP="00B17F1D">
      <w:pPr>
        <w:pStyle w:val="Prrafodelista"/>
        <w:numPr>
          <w:ilvl w:val="1"/>
          <w:numId w:val="5"/>
        </w:numPr>
        <w:spacing w:after="0" w:line="480" w:lineRule="auto"/>
        <w:jc w:val="both"/>
        <w:rPr>
          <w:rFonts w:ascii="Times New Roman" w:hAnsi="Times New Roman"/>
          <w:sz w:val="24"/>
          <w:szCs w:val="24"/>
        </w:rPr>
      </w:pPr>
      <w:r w:rsidRPr="005667EB">
        <w:rPr>
          <w:rFonts w:ascii="Times New Roman" w:hAnsi="Times New Roman"/>
          <w:sz w:val="24"/>
          <w:szCs w:val="24"/>
        </w:rPr>
        <w:t xml:space="preserve">Socio-político. </w:t>
      </w:r>
      <w:r w:rsidR="00494CEA">
        <w:rPr>
          <w:rFonts w:ascii="Times New Roman" w:hAnsi="Times New Roman"/>
          <w:sz w:val="24"/>
          <w:szCs w:val="24"/>
        </w:rPr>
        <w:t>Analizará el contexto social, histórico y político en que se desarrollaron los casos, enfoc</w:t>
      </w:r>
      <w:r w:rsidR="00122DFC">
        <w:rPr>
          <w:rFonts w:ascii="Times New Roman" w:hAnsi="Times New Roman"/>
          <w:sz w:val="24"/>
          <w:szCs w:val="24"/>
        </w:rPr>
        <w:t>ándose en e</w:t>
      </w:r>
      <w:r w:rsidR="00494CEA">
        <w:rPr>
          <w:rFonts w:ascii="Times New Roman" w:hAnsi="Times New Roman"/>
          <w:sz w:val="24"/>
          <w:szCs w:val="24"/>
        </w:rPr>
        <w:t xml:space="preserve">l grupo criminal. Se trata de estudiar la circunstancia de los Zetas en </w:t>
      </w:r>
      <w:r w:rsidR="007B7539">
        <w:rPr>
          <w:rFonts w:ascii="Times New Roman" w:hAnsi="Times New Roman"/>
          <w:sz w:val="24"/>
          <w:szCs w:val="24"/>
        </w:rPr>
        <w:t xml:space="preserve">el periodo anterior a las masacres y los posibles móviles que condujeron a éstas. </w:t>
      </w:r>
    </w:p>
    <w:p w14:paraId="1647A7A7" w14:textId="11CD0D23" w:rsidR="00B17F1D" w:rsidRDefault="00B17F1D" w:rsidP="00B17F1D">
      <w:pPr>
        <w:pStyle w:val="Prrafodelista"/>
        <w:spacing w:after="0" w:line="480" w:lineRule="auto"/>
        <w:ind w:left="1080"/>
        <w:jc w:val="both"/>
        <w:rPr>
          <w:rFonts w:ascii="Times New Roman" w:hAnsi="Times New Roman"/>
          <w:sz w:val="24"/>
          <w:szCs w:val="24"/>
        </w:rPr>
      </w:pPr>
      <w:r>
        <w:rPr>
          <w:rFonts w:ascii="Times New Roman" w:hAnsi="Times New Roman"/>
          <w:sz w:val="24"/>
          <w:szCs w:val="24"/>
        </w:rPr>
        <w:tab/>
      </w:r>
      <w:r w:rsidR="00A01DC9" w:rsidRPr="00B17F1D">
        <w:rPr>
          <w:rFonts w:ascii="Times New Roman" w:hAnsi="Times New Roman"/>
          <w:sz w:val="24"/>
          <w:szCs w:val="24"/>
        </w:rPr>
        <w:t xml:space="preserve">Como parte de la investigación, también investigará el papel del </w:t>
      </w:r>
      <w:r w:rsidR="00122DFC" w:rsidRPr="00B17F1D">
        <w:rPr>
          <w:rFonts w:ascii="Times New Roman" w:hAnsi="Times New Roman"/>
          <w:sz w:val="24"/>
          <w:szCs w:val="24"/>
        </w:rPr>
        <w:t xml:space="preserve">Estado mexicano, </w:t>
      </w:r>
      <w:r w:rsidR="007B7539" w:rsidRPr="00B17F1D">
        <w:rPr>
          <w:rFonts w:ascii="Times New Roman" w:hAnsi="Times New Roman"/>
          <w:sz w:val="24"/>
          <w:szCs w:val="24"/>
        </w:rPr>
        <w:t xml:space="preserve">en sus distintos niveles, </w:t>
      </w:r>
      <w:r w:rsidR="00122DFC" w:rsidRPr="00B17F1D">
        <w:rPr>
          <w:rFonts w:ascii="Times New Roman" w:hAnsi="Times New Roman"/>
          <w:sz w:val="24"/>
          <w:szCs w:val="24"/>
        </w:rPr>
        <w:t>la postura de los medios de comunicación y la sociedad civil</w:t>
      </w:r>
      <w:r w:rsidR="00A01DC9" w:rsidRPr="00B17F1D">
        <w:rPr>
          <w:rFonts w:ascii="Times New Roman" w:hAnsi="Times New Roman"/>
          <w:sz w:val="24"/>
          <w:szCs w:val="24"/>
        </w:rPr>
        <w:t xml:space="preserve">, así como el perfil socioeconómico y los diversos factores de vulnerabilidad de las víctimas. </w:t>
      </w:r>
      <w:r w:rsidR="00122DFC" w:rsidRPr="00B17F1D">
        <w:rPr>
          <w:rFonts w:ascii="Times New Roman" w:hAnsi="Times New Roman"/>
          <w:sz w:val="24"/>
          <w:szCs w:val="24"/>
        </w:rPr>
        <w:t xml:space="preserve"> </w:t>
      </w:r>
    </w:p>
    <w:p w14:paraId="423D8485" w14:textId="064C0D85" w:rsidR="00B17F1D" w:rsidRPr="005667EB" w:rsidRDefault="00B17F1D" w:rsidP="00B17F1D">
      <w:pPr>
        <w:pStyle w:val="Prrafodelista"/>
        <w:spacing w:after="0"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También se evaluará la pertinencia de conformar una base con datos de los municipios coahuilenses y tamaulipecos, aprovechando los estudios previos y complementándolos con la información disponible, para estudiar las causas </w:t>
      </w:r>
      <w:r>
        <w:rPr>
          <w:rFonts w:ascii="Times New Roman" w:hAnsi="Times New Roman"/>
          <w:sz w:val="24"/>
          <w:szCs w:val="24"/>
        </w:rPr>
        <w:lastRenderedPageBreak/>
        <w:t xml:space="preserve">estructurales que pudieran estar involucradas en los acontecimientos. Además, en el supuesto de que la CEAV intentará extender esfuerzos de este tipo hacia las universidades locales, la base podría servir como un primer paso hacia la estandarización en el manejo de </w:t>
      </w:r>
      <w:r w:rsidR="00951B97">
        <w:rPr>
          <w:rFonts w:ascii="Times New Roman" w:hAnsi="Times New Roman"/>
          <w:sz w:val="24"/>
          <w:szCs w:val="24"/>
        </w:rPr>
        <w:t>la</w:t>
      </w:r>
      <w:r>
        <w:rPr>
          <w:rFonts w:ascii="Times New Roman" w:hAnsi="Times New Roman"/>
          <w:sz w:val="24"/>
          <w:szCs w:val="24"/>
        </w:rPr>
        <w:t xml:space="preserve"> información</w:t>
      </w:r>
      <w:r w:rsidR="00951B97">
        <w:rPr>
          <w:rFonts w:ascii="Times New Roman" w:hAnsi="Times New Roman"/>
          <w:sz w:val="24"/>
          <w:szCs w:val="24"/>
        </w:rPr>
        <w:t xml:space="preserve"> relacionada</w:t>
      </w:r>
      <w:bookmarkStart w:id="0" w:name="_GoBack"/>
      <w:bookmarkEnd w:id="0"/>
      <w:r>
        <w:rPr>
          <w:rFonts w:ascii="Times New Roman" w:hAnsi="Times New Roman"/>
          <w:sz w:val="24"/>
          <w:szCs w:val="24"/>
        </w:rPr>
        <w:t xml:space="preserve">. </w:t>
      </w:r>
    </w:p>
    <w:p w14:paraId="365F5A6A" w14:textId="4356B7FC" w:rsidR="00383CBF" w:rsidRDefault="00383CBF" w:rsidP="008D06C8">
      <w:pPr>
        <w:pStyle w:val="Prrafodelista"/>
        <w:spacing w:after="0" w:line="480" w:lineRule="auto"/>
        <w:ind w:left="1080"/>
        <w:jc w:val="both"/>
        <w:rPr>
          <w:rFonts w:ascii="Times New Roman" w:hAnsi="Times New Roman"/>
          <w:sz w:val="24"/>
          <w:szCs w:val="24"/>
        </w:rPr>
      </w:pPr>
      <w:r>
        <w:rPr>
          <w:rFonts w:ascii="Times New Roman" w:hAnsi="Times New Roman"/>
          <w:sz w:val="24"/>
          <w:szCs w:val="24"/>
        </w:rPr>
        <w:tab/>
        <w:t>El análisis socio-político discurrirá en dos niveles:</w:t>
      </w:r>
    </w:p>
    <w:p w14:paraId="09BD0C9C" w14:textId="114CF26E" w:rsidR="00BD4D83" w:rsidRDefault="00A63497" w:rsidP="005A5E1E">
      <w:pPr>
        <w:pStyle w:val="Prrafodelista"/>
        <w:numPr>
          <w:ilvl w:val="2"/>
          <w:numId w:val="5"/>
        </w:numPr>
        <w:spacing w:after="0" w:line="480" w:lineRule="auto"/>
        <w:jc w:val="both"/>
        <w:rPr>
          <w:rFonts w:ascii="Times New Roman" w:hAnsi="Times New Roman"/>
          <w:sz w:val="24"/>
          <w:szCs w:val="24"/>
        </w:rPr>
      </w:pPr>
      <w:r>
        <w:rPr>
          <w:rFonts w:ascii="Times New Roman" w:hAnsi="Times New Roman"/>
          <w:sz w:val="24"/>
          <w:szCs w:val="24"/>
        </w:rPr>
        <w:t>General. Enfocado al contexto de los Zetas, sus relaciones con otros grupos criminales y su dinámica interna.</w:t>
      </w:r>
    </w:p>
    <w:p w14:paraId="263EDDB2" w14:textId="77777777" w:rsidR="008B7039" w:rsidRDefault="008B7039" w:rsidP="005A5E1E">
      <w:pPr>
        <w:pStyle w:val="Prrafodelista"/>
        <w:numPr>
          <w:ilvl w:val="2"/>
          <w:numId w:val="5"/>
        </w:numPr>
        <w:spacing w:after="0" w:line="480" w:lineRule="auto"/>
        <w:jc w:val="both"/>
        <w:rPr>
          <w:rFonts w:ascii="Times New Roman" w:hAnsi="Times New Roman"/>
          <w:sz w:val="24"/>
          <w:szCs w:val="24"/>
        </w:rPr>
      </w:pPr>
      <w:r>
        <w:rPr>
          <w:rFonts w:ascii="Times New Roman" w:hAnsi="Times New Roman"/>
          <w:sz w:val="24"/>
          <w:szCs w:val="24"/>
        </w:rPr>
        <w:t>Local</w:t>
      </w:r>
      <w:r w:rsidR="00A63497">
        <w:rPr>
          <w:rFonts w:ascii="Times New Roman" w:hAnsi="Times New Roman"/>
          <w:sz w:val="24"/>
          <w:szCs w:val="24"/>
        </w:rPr>
        <w:t xml:space="preserve">. Concentrado en </w:t>
      </w:r>
      <w:r>
        <w:rPr>
          <w:rFonts w:ascii="Times New Roman" w:hAnsi="Times New Roman"/>
          <w:sz w:val="24"/>
          <w:szCs w:val="24"/>
        </w:rPr>
        <w:t>el contexto geográfico en el que se efectuaron los acontecimientos, sobre todo para estudiar los posibles móviles de las masacres y la brutalidad de las formas de ejecución.</w:t>
      </w:r>
    </w:p>
    <w:p w14:paraId="112AB656" w14:textId="77777777" w:rsidR="00BD4D83" w:rsidRPr="005667EB" w:rsidRDefault="00BD4D83" w:rsidP="005A5E1E">
      <w:pPr>
        <w:pStyle w:val="Prrafodelista"/>
        <w:numPr>
          <w:ilvl w:val="1"/>
          <w:numId w:val="5"/>
        </w:numPr>
        <w:spacing w:after="0" w:line="480" w:lineRule="auto"/>
        <w:jc w:val="both"/>
        <w:rPr>
          <w:rFonts w:ascii="Times New Roman" w:hAnsi="Times New Roman"/>
          <w:sz w:val="24"/>
          <w:szCs w:val="24"/>
        </w:rPr>
      </w:pPr>
      <w:r w:rsidRPr="005667EB">
        <w:rPr>
          <w:rFonts w:ascii="Times New Roman" w:hAnsi="Times New Roman"/>
          <w:sz w:val="24"/>
          <w:szCs w:val="24"/>
        </w:rPr>
        <w:t>Jurídico. Se analizará el actuar de las instancias gubernamentales competentes para atender los dos casos: Procuradurías federal y estatales; Comisión Nacional de los Derechos Humanos, Comisión de Derechos Humanos del Estado de Tamaulipas, Comisión de Derechos Humanos del Estado de Coahuila, Comisión Ejecutiva de Atención a Víctimas; así como otras autoridades que sean identificadas como relevantes durante el curso de la investigación. Sus actuaciones se contrastarán con las obligaciones nacionales e internacionales que tiene el Estado mexicano en materia de derechos humanos, tales como prevenir, investigar, procesar, sancionar y reparar. Asimismo, se determinarán cuáles son las obligaciones de derechos humanos que el Estado tiene frente a la actividad de actores no estatales como los grupos de la delincuencia organizada. De este análisis se derivarán sugerencias a la CEAV para que considere elaborar recomendaciones a diferentes dependencias del Estado.</w:t>
      </w:r>
    </w:p>
    <w:p w14:paraId="2EA1CA86" w14:textId="77777777" w:rsidR="00BD4D83" w:rsidRPr="005667EB" w:rsidRDefault="00BD4D83" w:rsidP="005A5E1E">
      <w:pPr>
        <w:pStyle w:val="Prrafodelista"/>
        <w:spacing w:after="0" w:line="480" w:lineRule="auto"/>
        <w:ind w:left="1440" w:firstLine="684"/>
        <w:jc w:val="both"/>
        <w:rPr>
          <w:rFonts w:ascii="Times New Roman" w:hAnsi="Times New Roman"/>
          <w:bCs/>
          <w:sz w:val="24"/>
          <w:szCs w:val="24"/>
          <w:lang w:val="es-ES_tradnl"/>
        </w:rPr>
      </w:pPr>
      <w:r w:rsidRPr="005667EB">
        <w:rPr>
          <w:rFonts w:ascii="Times New Roman" w:hAnsi="Times New Roman"/>
          <w:sz w:val="24"/>
          <w:szCs w:val="24"/>
        </w:rPr>
        <w:lastRenderedPageBreak/>
        <w:t xml:space="preserve">Como parte del análisis jurídico, se identificarán los organismos internacionales que actuaron o pudieron haber actuado en los dos casos (entre otros, Comisión Interamericana de Derechos Humanos, Oficina del Alto Comisionado para los Derechos Humanos, Comité de Derechos Humanos, Comité contra las Desapariciones Forzadas, </w:t>
      </w:r>
      <w:r w:rsidRPr="005667EB">
        <w:rPr>
          <w:rFonts w:ascii="Times New Roman" w:hAnsi="Times New Roman"/>
          <w:bCs/>
          <w:sz w:val="24"/>
          <w:szCs w:val="24"/>
          <w:lang w:val="es-ES_tradnl"/>
        </w:rPr>
        <w:t>Grupo de Trabajo sobre las Desapariciones Forzadas o Involuntarias, Relator Especial sobre ejecuciones extrajudiciales, sumarias o arbitrarias</w:t>
      </w:r>
      <w:r w:rsidRPr="005667EB">
        <w:rPr>
          <w:rFonts w:ascii="Times New Roman" w:hAnsi="Times New Roman"/>
          <w:sz w:val="24"/>
          <w:szCs w:val="24"/>
        </w:rPr>
        <w:t>). Se analizará si estos organismos hicieron uso de todas las facultades previstas en los tratados internacionales y sus reglamentos, y de qué forma la sociedad civil organizada y la comunidad internacional pudieron haber influenciado para activar su respuesta o para que ésta fuera más efectiva.</w:t>
      </w:r>
    </w:p>
    <w:p w14:paraId="0FE342E3" w14:textId="77777777" w:rsidR="00BD4D83" w:rsidRPr="005667EB" w:rsidRDefault="00BD4D83" w:rsidP="005A5E1E">
      <w:pPr>
        <w:spacing w:after="0" w:line="480" w:lineRule="auto"/>
        <w:contextualSpacing/>
        <w:jc w:val="both"/>
        <w:rPr>
          <w:rFonts w:ascii="Times New Roman" w:hAnsi="Times New Roman"/>
          <w:sz w:val="24"/>
          <w:szCs w:val="24"/>
        </w:rPr>
      </w:pPr>
      <w:r w:rsidRPr="005667EB">
        <w:rPr>
          <w:rFonts w:ascii="Times New Roman" w:hAnsi="Times New Roman"/>
          <w:sz w:val="24"/>
          <w:szCs w:val="24"/>
        </w:rPr>
        <w:t>A medida que se avance en el procesamiento de los expedientes se harán entrevistas con víctimas y sus familias, con autoridades federales y locales, con organizaciones de la sociedad civil que han acompañado los casos y/o trabajan con el tema y con diversos expertos.</w:t>
      </w:r>
    </w:p>
    <w:p w14:paraId="7E5FEF43" w14:textId="5BEFF356" w:rsidR="00BD4D83" w:rsidRPr="005667EB" w:rsidRDefault="00BD4D83" w:rsidP="005A5E1E">
      <w:pPr>
        <w:pStyle w:val="Prrafodelista"/>
        <w:numPr>
          <w:ilvl w:val="0"/>
          <w:numId w:val="5"/>
        </w:numPr>
        <w:spacing w:after="0" w:line="480" w:lineRule="auto"/>
        <w:jc w:val="both"/>
        <w:rPr>
          <w:rFonts w:ascii="Times New Roman" w:hAnsi="Times New Roman"/>
          <w:sz w:val="24"/>
          <w:szCs w:val="24"/>
        </w:rPr>
      </w:pPr>
      <w:r w:rsidRPr="005667EB">
        <w:rPr>
          <w:rFonts w:ascii="Times New Roman" w:hAnsi="Times New Roman"/>
          <w:b/>
          <w:sz w:val="24"/>
          <w:szCs w:val="24"/>
        </w:rPr>
        <w:t>Tercera etapa</w:t>
      </w:r>
      <w:r w:rsidRPr="005667EB">
        <w:rPr>
          <w:rFonts w:ascii="Times New Roman" w:hAnsi="Times New Roman"/>
          <w:b/>
          <w:sz w:val="24"/>
          <w:szCs w:val="24"/>
        </w:rPr>
        <w:t xml:space="preserve"> (septiembre 2016): </w:t>
      </w:r>
      <w:r w:rsidRPr="005667EB">
        <w:rPr>
          <w:rFonts w:ascii="Times New Roman" w:hAnsi="Times New Roman"/>
          <w:sz w:val="24"/>
          <w:szCs w:val="24"/>
        </w:rPr>
        <w:t>Presentación pública de los principales resultados y recomendaciones</w:t>
      </w:r>
      <w:r w:rsidRPr="005667EB">
        <w:rPr>
          <w:rFonts w:ascii="Times New Roman" w:hAnsi="Times New Roman"/>
          <w:sz w:val="24"/>
          <w:szCs w:val="24"/>
        </w:rPr>
        <w:t>.</w:t>
      </w:r>
    </w:p>
    <w:p w14:paraId="00ED9115" w14:textId="77777777" w:rsidR="00C53CF0" w:rsidRPr="005667EB" w:rsidRDefault="00BD4D83" w:rsidP="005A5E1E">
      <w:pPr>
        <w:pStyle w:val="Prrafodelista"/>
        <w:numPr>
          <w:ilvl w:val="0"/>
          <w:numId w:val="5"/>
        </w:numPr>
        <w:spacing w:after="0" w:line="480" w:lineRule="auto"/>
        <w:jc w:val="both"/>
        <w:rPr>
          <w:rFonts w:ascii="Times New Roman" w:hAnsi="Times New Roman"/>
          <w:sz w:val="24"/>
          <w:szCs w:val="24"/>
        </w:rPr>
      </w:pPr>
      <w:r w:rsidRPr="005667EB">
        <w:rPr>
          <w:rFonts w:ascii="Times New Roman" w:hAnsi="Times New Roman"/>
          <w:b/>
          <w:sz w:val="24"/>
          <w:szCs w:val="24"/>
        </w:rPr>
        <w:t>Cuarta etapa</w:t>
      </w:r>
      <w:r w:rsidRPr="005667EB">
        <w:rPr>
          <w:rFonts w:ascii="Times New Roman" w:hAnsi="Times New Roman"/>
          <w:b/>
          <w:sz w:val="24"/>
          <w:szCs w:val="24"/>
        </w:rPr>
        <w:t xml:space="preserve"> </w:t>
      </w:r>
      <w:r w:rsidRPr="005667EB">
        <w:rPr>
          <w:rFonts w:ascii="Times New Roman" w:hAnsi="Times New Roman"/>
          <w:b/>
          <w:sz w:val="24"/>
          <w:szCs w:val="24"/>
        </w:rPr>
        <w:t>(octubre-noviembre 2016):</w:t>
      </w:r>
      <w:r w:rsidRPr="005667EB">
        <w:rPr>
          <w:rFonts w:ascii="Times New Roman" w:hAnsi="Times New Roman"/>
          <w:sz w:val="24"/>
          <w:szCs w:val="24"/>
        </w:rPr>
        <w:t xml:space="preserve"> Redacción, edición y publicación de la investigación completa en formato digital </w:t>
      </w:r>
    </w:p>
    <w:p w14:paraId="1B838F05" w14:textId="77777777" w:rsidR="00C53CF0" w:rsidRPr="005667EB" w:rsidRDefault="00C53CF0" w:rsidP="005A5E1E">
      <w:pPr>
        <w:pStyle w:val="Prrafodelista"/>
        <w:numPr>
          <w:ilvl w:val="1"/>
          <w:numId w:val="5"/>
        </w:numPr>
        <w:spacing w:after="0" w:line="480" w:lineRule="auto"/>
        <w:jc w:val="both"/>
        <w:rPr>
          <w:rFonts w:ascii="Times New Roman" w:hAnsi="Times New Roman"/>
          <w:sz w:val="24"/>
          <w:szCs w:val="24"/>
        </w:rPr>
      </w:pPr>
      <w:r w:rsidRPr="005667EB">
        <w:rPr>
          <w:rFonts w:ascii="Times New Roman" w:hAnsi="Times New Roman"/>
          <w:sz w:val="24"/>
          <w:szCs w:val="24"/>
        </w:rPr>
        <w:t>Texto definitivo;</w:t>
      </w:r>
    </w:p>
    <w:p w14:paraId="49813F23" w14:textId="211268B1" w:rsidR="00BD4D83" w:rsidRPr="005667EB" w:rsidRDefault="00C53CF0" w:rsidP="005A5E1E">
      <w:pPr>
        <w:pStyle w:val="Prrafodelista"/>
        <w:numPr>
          <w:ilvl w:val="1"/>
          <w:numId w:val="5"/>
        </w:numPr>
        <w:spacing w:after="0" w:line="480" w:lineRule="auto"/>
        <w:jc w:val="both"/>
        <w:rPr>
          <w:rFonts w:ascii="Times New Roman" w:hAnsi="Times New Roman"/>
          <w:sz w:val="24"/>
          <w:szCs w:val="24"/>
        </w:rPr>
      </w:pPr>
      <w:r w:rsidRPr="005667EB">
        <w:rPr>
          <w:rFonts w:ascii="Times New Roman" w:hAnsi="Times New Roman"/>
          <w:sz w:val="24"/>
          <w:szCs w:val="24"/>
        </w:rPr>
        <w:t>Preparación de base documental para incorporarla a la Colección Digital Memoria y Verdad de la Biblioteca.</w:t>
      </w:r>
    </w:p>
    <w:p w14:paraId="6A25C156" w14:textId="77777777" w:rsidR="00DD4A51" w:rsidRPr="005667EB" w:rsidRDefault="00DD4A51" w:rsidP="005A5E1E">
      <w:pPr>
        <w:spacing w:after="0" w:line="480" w:lineRule="auto"/>
        <w:contextualSpacing/>
        <w:jc w:val="both"/>
        <w:rPr>
          <w:rFonts w:ascii="Times New Roman" w:hAnsi="Times New Roman"/>
          <w:b/>
          <w:sz w:val="24"/>
          <w:szCs w:val="24"/>
        </w:rPr>
      </w:pPr>
    </w:p>
    <w:p w14:paraId="28DEF710" w14:textId="58E79CCE" w:rsidR="004349C0" w:rsidRPr="005667EB" w:rsidRDefault="004349C0" w:rsidP="005A5E1E">
      <w:pPr>
        <w:spacing w:after="0" w:line="480" w:lineRule="auto"/>
        <w:contextualSpacing/>
        <w:rPr>
          <w:rFonts w:ascii="Times New Roman" w:hAnsi="Times New Roman"/>
          <w:b/>
          <w:sz w:val="24"/>
          <w:szCs w:val="24"/>
        </w:rPr>
      </w:pPr>
      <w:r w:rsidRPr="005667EB">
        <w:rPr>
          <w:rFonts w:ascii="Times New Roman" w:hAnsi="Times New Roman"/>
          <w:b/>
          <w:sz w:val="24"/>
          <w:szCs w:val="24"/>
        </w:rPr>
        <w:t>INFORMES</w:t>
      </w:r>
      <w:r w:rsidR="007D3ADC" w:rsidRPr="005667EB">
        <w:rPr>
          <w:rFonts w:ascii="Times New Roman" w:hAnsi="Times New Roman"/>
          <w:b/>
          <w:sz w:val="24"/>
          <w:szCs w:val="24"/>
        </w:rPr>
        <w:t xml:space="preserve"> PERIÓDICOS</w:t>
      </w:r>
    </w:p>
    <w:p w14:paraId="39726F3C" w14:textId="77777777" w:rsidR="003D7995" w:rsidRPr="005667EB" w:rsidRDefault="003D7995" w:rsidP="005A5E1E">
      <w:pPr>
        <w:pStyle w:val="Prrafodelista"/>
        <w:spacing w:after="0" w:line="480" w:lineRule="auto"/>
        <w:ind w:left="0"/>
        <w:jc w:val="both"/>
        <w:rPr>
          <w:rFonts w:ascii="Times New Roman" w:hAnsi="Times New Roman"/>
          <w:color w:val="FF0000"/>
          <w:sz w:val="24"/>
          <w:szCs w:val="24"/>
        </w:rPr>
      </w:pPr>
      <w:r w:rsidRPr="005667EB">
        <w:rPr>
          <w:rFonts w:ascii="Times New Roman" w:hAnsi="Times New Roman"/>
          <w:color w:val="FF0000"/>
          <w:sz w:val="24"/>
          <w:szCs w:val="24"/>
        </w:rPr>
        <w:lastRenderedPageBreak/>
        <w:t>Como parte del compromiso para fomentar el diálogo constante con la sociedad, se contempla la presentación periódica de avances y foros de discusión:</w:t>
      </w:r>
    </w:p>
    <w:p w14:paraId="762225B0" w14:textId="77777777" w:rsidR="003D7995" w:rsidRPr="005667EB" w:rsidRDefault="003D7995" w:rsidP="005A5E1E">
      <w:pPr>
        <w:pStyle w:val="Prrafodelista"/>
        <w:numPr>
          <w:ilvl w:val="0"/>
          <w:numId w:val="13"/>
        </w:numPr>
        <w:spacing w:after="0" w:line="480" w:lineRule="auto"/>
        <w:jc w:val="both"/>
        <w:rPr>
          <w:rFonts w:ascii="Times New Roman" w:hAnsi="Times New Roman"/>
          <w:color w:val="FF0000"/>
          <w:sz w:val="24"/>
          <w:szCs w:val="24"/>
        </w:rPr>
      </w:pPr>
      <w:r w:rsidRPr="005667EB">
        <w:rPr>
          <w:rFonts w:ascii="Times New Roman" w:hAnsi="Times New Roman"/>
          <w:color w:val="FF0000"/>
          <w:sz w:val="24"/>
          <w:szCs w:val="24"/>
        </w:rPr>
        <w:t>Reuniones con la CEAV para discutir la evolución del proyecto, como parte del convenio de colaboración. Periodicidad mensual.</w:t>
      </w:r>
    </w:p>
    <w:p w14:paraId="170CC96D" w14:textId="77777777" w:rsidR="003D7995" w:rsidRPr="005667EB" w:rsidRDefault="003D7995" w:rsidP="005A5E1E">
      <w:pPr>
        <w:pStyle w:val="Prrafodelista"/>
        <w:numPr>
          <w:ilvl w:val="0"/>
          <w:numId w:val="13"/>
        </w:numPr>
        <w:spacing w:after="0" w:line="480" w:lineRule="auto"/>
        <w:jc w:val="both"/>
        <w:rPr>
          <w:rFonts w:ascii="Times New Roman" w:hAnsi="Times New Roman"/>
          <w:color w:val="FF0000"/>
          <w:sz w:val="24"/>
          <w:szCs w:val="24"/>
        </w:rPr>
      </w:pPr>
      <w:r w:rsidRPr="005667EB">
        <w:rPr>
          <w:rFonts w:ascii="Times New Roman" w:hAnsi="Times New Roman"/>
          <w:color w:val="FF0000"/>
          <w:sz w:val="24"/>
          <w:szCs w:val="24"/>
        </w:rPr>
        <w:t>Presentación de avances al Consejo Asesor. Periodicidad mensual.</w:t>
      </w:r>
    </w:p>
    <w:p w14:paraId="60981112" w14:textId="77777777" w:rsidR="003D7995" w:rsidRPr="005667EB" w:rsidRDefault="003D7995" w:rsidP="005A5E1E">
      <w:pPr>
        <w:pStyle w:val="Prrafodelista"/>
        <w:numPr>
          <w:ilvl w:val="0"/>
          <w:numId w:val="13"/>
        </w:numPr>
        <w:spacing w:after="0" w:line="480" w:lineRule="auto"/>
        <w:jc w:val="both"/>
        <w:rPr>
          <w:rFonts w:ascii="Times New Roman" w:hAnsi="Times New Roman"/>
          <w:color w:val="FF0000"/>
          <w:sz w:val="24"/>
          <w:szCs w:val="24"/>
        </w:rPr>
      </w:pPr>
      <w:r w:rsidRPr="005667EB">
        <w:rPr>
          <w:rFonts w:ascii="Times New Roman" w:hAnsi="Times New Roman"/>
          <w:color w:val="FF0000"/>
          <w:sz w:val="24"/>
          <w:szCs w:val="24"/>
        </w:rPr>
        <w:t>Sesiones abiertas de carácter informal, similares a los “Brown Bag Lunch”, en El Colegio de México, con el objetivo de que profesores y estudiantes de la institución, así como el público interesado, conversen con el equipo de investigación sobre los avances realizados y sobre temáticas específicas relacionadas con el desarrollo del proyecto. Finales de cada mes.</w:t>
      </w:r>
    </w:p>
    <w:p w14:paraId="6D68A58D" w14:textId="77777777" w:rsidR="00BF78DE" w:rsidRPr="005667EB" w:rsidRDefault="00BF78DE" w:rsidP="005A5E1E">
      <w:pPr>
        <w:spacing w:after="0" w:line="480" w:lineRule="auto"/>
        <w:contextualSpacing/>
        <w:rPr>
          <w:rFonts w:ascii="Times New Roman" w:hAnsi="Times New Roman"/>
          <w:sz w:val="24"/>
          <w:szCs w:val="24"/>
        </w:rPr>
      </w:pPr>
    </w:p>
    <w:p w14:paraId="680E5AC0" w14:textId="48FB8F7A" w:rsidR="0065289A" w:rsidRDefault="00872286" w:rsidP="005A5E1E">
      <w:pPr>
        <w:spacing w:after="0" w:line="480" w:lineRule="auto"/>
        <w:contextualSpacing/>
        <w:rPr>
          <w:rFonts w:ascii="Times New Roman" w:hAnsi="Times New Roman"/>
          <w:b/>
          <w:sz w:val="24"/>
          <w:szCs w:val="24"/>
        </w:rPr>
      </w:pPr>
      <w:r>
        <w:rPr>
          <w:rFonts w:ascii="Times New Roman" w:hAnsi="Times New Roman"/>
          <w:b/>
          <w:sz w:val="24"/>
          <w:szCs w:val="24"/>
        </w:rPr>
        <w:t>ORGANIGRAMA</w:t>
      </w:r>
    </w:p>
    <w:p w14:paraId="75BC04D2" w14:textId="77777777" w:rsidR="00872286" w:rsidRDefault="00872286" w:rsidP="005A5E1E">
      <w:pPr>
        <w:pStyle w:val="Prrafodelista"/>
        <w:numPr>
          <w:ilvl w:val="0"/>
          <w:numId w:val="14"/>
        </w:numPr>
        <w:spacing w:after="0" w:line="480" w:lineRule="auto"/>
        <w:rPr>
          <w:rFonts w:ascii="Times New Roman" w:hAnsi="Times New Roman"/>
          <w:b/>
          <w:sz w:val="24"/>
          <w:szCs w:val="24"/>
        </w:rPr>
      </w:pPr>
      <w:r w:rsidRPr="00872286">
        <w:rPr>
          <w:rFonts w:ascii="Times New Roman" w:hAnsi="Times New Roman"/>
          <w:b/>
          <w:sz w:val="24"/>
          <w:szCs w:val="24"/>
        </w:rPr>
        <w:t>Consejo Asesor</w:t>
      </w:r>
    </w:p>
    <w:p w14:paraId="01E3A481" w14:textId="77777777" w:rsidR="00872286" w:rsidRPr="00716202" w:rsidRDefault="00872286" w:rsidP="005A5E1E">
      <w:pPr>
        <w:pStyle w:val="Prrafodelista"/>
        <w:numPr>
          <w:ilvl w:val="1"/>
          <w:numId w:val="14"/>
        </w:numPr>
        <w:spacing w:after="0" w:line="480" w:lineRule="auto"/>
        <w:rPr>
          <w:rFonts w:ascii="Times New Roman" w:hAnsi="Times New Roman"/>
          <w:sz w:val="24"/>
          <w:szCs w:val="24"/>
        </w:rPr>
      </w:pPr>
      <w:r w:rsidRPr="00716202">
        <w:rPr>
          <w:rFonts w:ascii="Times New Roman" w:hAnsi="Times New Roman"/>
          <w:sz w:val="24"/>
          <w:szCs w:val="24"/>
        </w:rPr>
        <w:t>Mariclaire Acosta Urquidi</w:t>
      </w:r>
    </w:p>
    <w:p w14:paraId="152A99F2" w14:textId="77777777" w:rsidR="00872286" w:rsidRPr="00716202" w:rsidRDefault="00872286" w:rsidP="005A5E1E">
      <w:pPr>
        <w:pStyle w:val="Prrafodelista"/>
        <w:numPr>
          <w:ilvl w:val="1"/>
          <w:numId w:val="14"/>
        </w:numPr>
        <w:spacing w:after="0" w:line="480" w:lineRule="auto"/>
        <w:rPr>
          <w:rFonts w:ascii="Times New Roman" w:hAnsi="Times New Roman"/>
          <w:sz w:val="24"/>
          <w:szCs w:val="24"/>
        </w:rPr>
      </w:pPr>
      <w:r w:rsidRPr="00716202">
        <w:rPr>
          <w:rFonts w:ascii="Times New Roman" w:hAnsi="Times New Roman"/>
          <w:sz w:val="24"/>
          <w:szCs w:val="24"/>
        </w:rPr>
        <w:t>Rubén Aguilar Valenzuela</w:t>
      </w:r>
    </w:p>
    <w:p w14:paraId="1E608B6C" w14:textId="77777777" w:rsidR="00872286" w:rsidRPr="00716202" w:rsidRDefault="00872286" w:rsidP="005A5E1E">
      <w:pPr>
        <w:pStyle w:val="Prrafodelista"/>
        <w:numPr>
          <w:ilvl w:val="1"/>
          <w:numId w:val="14"/>
        </w:numPr>
        <w:spacing w:after="0" w:line="480" w:lineRule="auto"/>
        <w:rPr>
          <w:rFonts w:ascii="Times New Roman" w:hAnsi="Times New Roman"/>
          <w:sz w:val="24"/>
          <w:szCs w:val="24"/>
        </w:rPr>
      </w:pPr>
      <w:r w:rsidRPr="00716202">
        <w:rPr>
          <w:rFonts w:ascii="Times New Roman" w:hAnsi="Times New Roman"/>
          <w:sz w:val="24"/>
          <w:szCs w:val="24"/>
        </w:rPr>
        <w:t>Javier Sicilia Zardaín</w:t>
      </w:r>
    </w:p>
    <w:p w14:paraId="78D162AE" w14:textId="77777777" w:rsidR="00872286" w:rsidRPr="00716202" w:rsidRDefault="00872286" w:rsidP="005A5E1E">
      <w:pPr>
        <w:pStyle w:val="Prrafodelista"/>
        <w:numPr>
          <w:ilvl w:val="1"/>
          <w:numId w:val="14"/>
        </w:numPr>
        <w:spacing w:after="0" w:line="480" w:lineRule="auto"/>
        <w:rPr>
          <w:rFonts w:ascii="Times New Roman" w:hAnsi="Times New Roman"/>
          <w:sz w:val="24"/>
          <w:szCs w:val="24"/>
        </w:rPr>
      </w:pPr>
      <w:r w:rsidRPr="00716202">
        <w:rPr>
          <w:rFonts w:ascii="Times New Roman" w:hAnsi="Times New Roman"/>
          <w:sz w:val="24"/>
          <w:szCs w:val="24"/>
        </w:rPr>
        <w:t>Juan Luis Villoro Ruiz</w:t>
      </w:r>
    </w:p>
    <w:p w14:paraId="5C4E2CBF" w14:textId="3C4DCAB8" w:rsidR="00872286" w:rsidRPr="00872286" w:rsidRDefault="00872286" w:rsidP="005A5E1E">
      <w:pPr>
        <w:pStyle w:val="Prrafodelista"/>
        <w:numPr>
          <w:ilvl w:val="0"/>
          <w:numId w:val="14"/>
        </w:numPr>
        <w:spacing w:after="0" w:line="480" w:lineRule="auto"/>
        <w:rPr>
          <w:rFonts w:ascii="Times New Roman" w:hAnsi="Times New Roman"/>
          <w:b/>
          <w:sz w:val="24"/>
          <w:szCs w:val="24"/>
        </w:rPr>
      </w:pPr>
      <w:r>
        <w:rPr>
          <w:rFonts w:ascii="Times New Roman" w:hAnsi="Times New Roman"/>
          <w:b/>
          <w:sz w:val="24"/>
          <w:szCs w:val="24"/>
        </w:rPr>
        <w:t>Equipo de investigación</w:t>
      </w:r>
    </w:p>
    <w:p w14:paraId="114B26F7" w14:textId="63EB50CB" w:rsidR="008F0C54" w:rsidRPr="00716202" w:rsidRDefault="00BF78DE" w:rsidP="005A5E1E">
      <w:pPr>
        <w:pStyle w:val="Prrafodelista"/>
        <w:numPr>
          <w:ilvl w:val="1"/>
          <w:numId w:val="14"/>
        </w:numPr>
        <w:spacing w:after="0" w:line="480" w:lineRule="auto"/>
        <w:rPr>
          <w:rFonts w:ascii="Times New Roman" w:hAnsi="Times New Roman"/>
          <w:sz w:val="24"/>
          <w:szCs w:val="24"/>
        </w:rPr>
      </w:pPr>
      <w:r w:rsidRPr="00872286">
        <w:rPr>
          <w:rFonts w:ascii="Times New Roman" w:hAnsi="Times New Roman"/>
          <w:b/>
          <w:sz w:val="24"/>
          <w:szCs w:val="24"/>
        </w:rPr>
        <w:t xml:space="preserve">Coordinador de la investigación: </w:t>
      </w:r>
      <w:r w:rsidRPr="00716202">
        <w:rPr>
          <w:rFonts w:ascii="Times New Roman" w:hAnsi="Times New Roman"/>
          <w:sz w:val="24"/>
          <w:szCs w:val="24"/>
        </w:rPr>
        <w:t>Sergio Aguayo Quezada</w:t>
      </w:r>
    </w:p>
    <w:p w14:paraId="0B228031" w14:textId="6E2C8A4A" w:rsidR="008F0C54" w:rsidRPr="005667EB" w:rsidRDefault="00AF0A94" w:rsidP="005A5E1E">
      <w:pPr>
        <w:pStyle w:val="Prrafodelista"/>
        <w:numPr>
          <w:ilvl w:val="1"/>
          <w:numId w:val="14"/>
        </w:numPr>
        <w:spacing w:after="0" w:line="480" w:lineRule="auto"/>
        <w:rPr>
          <w:rFonts w:ascii="Times New Roman" w:hAnsi="Times New Roman"/>
          <w:b/>
          <w:sz w:val="24"/>
          <w:szCs w:val="24"/>
        </w:rPr>
      </w:pPr>
      <w:r w:rsidRPr="00872286">
        <w:rPr>
          <w:rFonts w:ascii="Times New Roman" w:hAnsi="Times New Roman"/>
          <w:b/>
          <w:sz w:val="24"/>
          <w:szCs w:val="24"/>
        </w:rPr>
        <w:t xml:space="preserve">Investigación y análisis jurídico: </w:t>
      </w:r>
      <w:r w:rsidRPr="00716202">
        <w:rPr>
          <w:rFonts w:ascii="Times New Roman" w:hAnsi="Times New Roman"/>
          <w:sz w:val="24"/>
          <w:szCs w:val="24"/>
        </w:rPr>
        <w:t>María</w:t>
      </w:r>
      <w:r w:rsidRPr="00872286">
        <w:rPr>
          <w:rFonts w:ascii="Times New Roman" w:hAnsi="Times New Roman"/>
          <w:b/>
          <w:sz w:val="24"/>
          <w:szCs w:val="24"/>
        </w:rPr>
        <w:t xml:space="preserve"> </w:t>
      </w:r>
      <w:r w:rsidRPr="00716202">
        <w:rPr>
          <w:rFonts w:ascii="Times New Roman" w:hAnsi="Times New Roman"/>
          <w:sz w:val="24"/>
          <w:szCs w:val="24"/>
        </w:rPr>
        <w:t>Delia Sánchez del Ángel</w:t>
      </w:r>
    </w:p>
    <w:p w14:paraId="459C7C97" w14:textId="0B62DFD5" w:rsidR="008F0C54" w:rsidRPr="00716202" w:rsidRDefault="00BF78DE" w:rsidP="005A5E1E">
      <w:pPr>
        <w:pStyle w:val="Prrafodelista"/>
        <w:numPr>
          <w:ilvl w:val="1"/>
          <w:numId w:val="14"/>
        </w:numPr>
        <w:spacing w:after="0" w:line="480" w:lineRule="auto"/>
        <w:rPr>
          <w:rFonts w:ascii="Times New Roman" w:hAnsi="Times New Roman"/>
          <w:sz w:val="24"/>
          <w:szCs w:val="24"/>
        </w:rPr>
      </w:pPr>
      <w:r w:rsidRPr="00872286">
        <w:rPr>
          <w:rFonts w:ascii="Times New Roman" w:hAnsi="Times New Roman"/>
          <w:b/>
          <w:sz w:val="24"/>
          <w:szCs w:val="24"/>
        </w:rPr>
        <w:t>Investigación y análisis socio-político:</w:t>
      </w:r>
      <w:r w:rsidR="006816CD" w:rsidRPr="00872286">
        <w:rPr>
          <w:rFonts w:ascii="Times New Roman" w:hAnsi="Times New Roman"/>
          <w:b/>
          <w:sz w:val="24"/>
          <w:szCs w:val="24"/>
        </w:rPr>
        <w:t xml:space="preserve"> </w:t>
      </w:r>
      <w:r w:rsidR="006816CD" w:rsidRPr="00716202">
        <w:rPr>
          <w:rFonts w:ascii="Times New Roman" w:hAnsi="Times New Roman"/>
          <w:sz w:val="24"/>
          <w:szCs w:val="24"/>
        </w:rPr>
        <w:t>Manuel Ernesto Pérez Aguirre</w:t>
      </w:r>
    </w:p>
    <w:p w14:paraId="7C8D45C6" w14:textId="4B2A9096" w:rsidR="00517E00" w:rsidRPr="005667EB" w:rsidRDefault="00BF78DE" w:rsidP="005A5E1E">
      <w:pPr>
        <w:pStyle w:val="Prrafodelista"/>
        <w:numPr>
          <w:ilvl w:val="1"/>
          <w:numId w:val="14"/>
        </w:numPr>
        <w:spacing w:after="0" w:line="480" w:lineRule="auto"/>
        <w:rPr>
          <w:rFonts w:ascii="Times New Roman" w:hAnsi="Times New Roman"/>
          <w:b/>
          <w:sz w:val="24"/>
          <w:szCs w:val="24"/>
        </w:rPr>
      </w:pPr>
      <w:r w:rsidRPr="00872286">
        <w:rPr>
          <w:rFonts w:ascii="Times New Roman" w:hAnsi="Times New Roman"/>
          <w:b/>
          <w:sz w:val="24"/>
          <w:szCs w:val="24"/>
        </w:rPr>
        <w:t>Asistentes de investigación:</w:t>
      </w:r>
    </w:p>
    <w:p w14:paraId="3AF99B7E" w14:textId="4A0F0172" w:rsidR="00EB6938" w:rsidRPr="00716202" w:rsidRDefault="00F831DB" w:rsidP="005A5E1E">
      <w:pPr>
        <w:pStyle w:val="Prrafodelista"/>
        <w:numPr>
          <w:ilvl w:val="1"/>
          <w:numId w:val="14"/>
        </w:numPr>
        <w:spacing w:after="0" w:line="480" w:lineRule="auto"/>
        <w:jc w:val="both"/>
        <w:rPr>
          <w:rFonts w:ascii="Times New Roman" w:hAnsi="Times New Roman"/>
          <w:sz w:val="24"/>
          <w:szCs w:val="24"/>
        </w:rPr>
      </w:pPr>
      <w:r w:rsidRPr="00872286">
        <w:rPr>
          <w:rFonts w:ascii="Times New Roman" w:hAnsi="Times New Roman"/>
          <w:b/>
          <w:sz w:val="24"/>
          <w:szCs w:val="24"/>
        </w:rPr>
        <w:lastRenderedPageBreak/>
        <w:t xml:space="preserve">Especializados. </w:t>
      </w:r>
      <w:r w:rsidRPr="00716202">
        <w:rPr>
          <w:rFonts w:ascii="Times New Roman" w:hAnsi="Times New Roman"/>
          <w:sz w:val="24"/>
          <w:szCs w:val="24"/>
        </w:rPr>
        <w:t>Realizaran tareas específicas dependiendo las necesidades que se vayan detectando durante la investigación, d</w:t>
      </w:r>
      <w:r w:rsidR="00EB6938" w:rsidRPr="00716202">
        <w:rPr>
          <w:rFonts w:ascii="Times New Roman" w:hAnsi="Times New Roman"/>
          <w:sz w:val="24"/>
          <w:szCs w:val="24"/>
        </w:rPr>
        <w:t>ada la com</w:t>
      </w:r>
      <w:r w:rsidR="00CE38F3" w:rsidRPr="00716202">
        <w:rPr>
          <w:rFonts w:ascii="Times New Roman" w:hAnsi="Times New Roman"/>
          <w:sz w:val="24"/>
          <w:szCs w:val="24"/>
        </w:rPr>
        <w:t>plejidad de</w:t>
      </w:r>
      <w:r w:rsidR="00EB6938" w:rsidRPr="00716202">
        <w:rPr>
          <w:rFonts w:ascii="Times New Roman" w:hAnsi="Times New Roman"/>
          <w:sz w:val="24"/>
          <w:szCs w:val="24"/>
        </w:rPr>
        <w:t xml:space="preserve"> los temas </w:t>
      </w:r>
      <w:r w:rsidRPr="00716202">
        <w:rPr>
          <w:rFonts w:ascii="Times New Roman" w:hAnsi="Times New Roman"/>
          <w:sz w:val="24"/>
          <w:szCs w:val="24"/>
        </w:rPr>
        <w:t>abordados.</w:t>
      </w:r>
    </w:p>
    <w:p w14:paraId="6F07ADD1" w14:textId="37B1C386" w:rsidR="00E4713D" w:rsidRPr="00872286" w:rsidRDefault="00E4713D" w:rsidP="005A5E1E">
      <w:pPr>
        <w:pStyle w:val="Prrafodelista"/>
        <w:numPr>
          <w:ilvl w:val="1"/>
          <w:numId w:val="14"/>
        </w:numPr>
        <w:spacing w:after="0" w:line="480" w:lineRule="auto"/>
        <w:jc w:val="both"/>
        <w:rPr>
          <w:rFonts w:ascii="Times New Roman" w:hAnsi="Times New Roman"/>
          <w:b/>
          <w:sz w:val="24"/>
          <w:szCs w:val="24"/>
        </w:rPr>
      </w:pPr>
      <w:r w:rsidRPr="00872286">
        <w:rPr>
          <w:rFonts w:ascii="Times New Roman" w:hAnsi="Times New Roman"/>
          <w:b/>
          <w:sz w:val="24"/>
          <w:szCs w:val="24"/>
        </w:rPr>
        <w:t xml:space="preserve">Locales. </w:t>
      </w:r>
      <w:r w:rsidRPr="00716202">
        <w:rPr>
          <w:rFonts w:ascii="Times New Roman" w:hAnsi="Times New Roman"/>
          <w:sz w:val="24"/>
          <w:szCs w:val="24"/>
        </w:rPr>
        <w:t xml:space="preserve">Encargados de recabar documentos e información </w:t>
      </w:r>
      <w:r w:rsidR="00894507" w:rsidRPr="00716202">
        <w:rPr>
          <w:rFonts w:ascii="Times New Roman" w:hAnsi="Times New Roman"/>
          <w:sz w:val="24"/>
          <w:szCs w:val="24"/>
        </w:rPr>
        <w:t>necesarios</w:t>
      </w:r>
      <w:r w:rsidRPr="00716202">
        <w:rPr>
          <w:rFonts w:ascii="Times New Roman" w:hAnsi="Times New Roman"/>
          <w:sz w:val="24"/>
          <w:szCs w:val="24"/>
        </w:rPr>
        <w:t>, contactar y entrevistar a víctimas, familiares, organiza</w:t>
      </w:r>
      <w:r w:rsidR="0013027A">
        <w:rPr>
          <w:rFonts w:ascii="Times New Roman" w:hAnsi="Times New Roman"/>
          <w:sz w:val="24"/>
          <w:szCs w:val="24"/>
        </w:rPr>
        <w:t>ciones de l</w:t>
      </w:r>
      <w:r w:rsidRPr="00716202">
        <w:rPr>
          <w:rFonts w:ascii="Times New Roman" w:hAnsi="Times New Roman"/>
          <w:sz w:val="24"/>
          <w:szCs w:val="24"/>
        </w:rPr>
        <w:t>a sociedad civil, medios de comunicación y académicos radicados en Tamaulipas y Coahuila.</w:t>
      </w:r>
    </w:p>
    <w:p w14:paraId="14A363A2" w14:textId="1DF69446" w:rsidR="00241C6E" w:rsidRPr="00716202" w:rsidRDefault="003A3842" w:rsidP="005A5E1E">
      <w:pPr>
        <w:pStyle w:val="Prrafodelista"/>
        <w:numPr>
          <w:ilvl w:val="0"/>
          <w:numId w:val="14"/>
        </w:numPr>
        <w:spacing w:after="0" w:line="480" w:lineRule="auto"/>
        <w:jc w:val="both"/>
        <w:rPr>
          <w:rFonts w:ascii="Times New Roman" w:hAnsi="Times New Roman"/>
          <w:sz w:val="24"/>
          <w:szCs w:val="24"/>
        </w:rPr>
      </w:pPr>
      <w:r w:rsidRPr="00872286">
        <w:rPr>
          <w:rFonts w:ascii="Times New Roman" w:hAnsi="Times New Roman"/>
          <w:b/>
          <w:sz w:val="24"/>
          <w:szCs w:val="24"/>
        </w:rPr>
        <w:t>Consultores:</w:t>
      </w:r>
      <w:r w:rsidR="00AF0A94" w:rsidRPr="00872286">
        <w:rPr>
          <w:rFonts w:ascii="Times New Roman" w:hAnsi="Times New Roman"/>
          <w:b/>
          <w:sz w:val="24"/>
          <w:szCs w:val="24"/>
        </w:rPr>
        <w:t xml:space="preserve"> </w:t>
      </w:r>
      <w:r w:rsidR="00AF0A94" w:rsidRPr="00716202">
        <w:rPr>
          <w:rFonts w:ascii="Times New Roman" w:hAnsi="Times New Roman"/>
          <w:sz w:val="24"/>
          <w:szCs w:val="24"/>
        </w:rPr>
        <w:t>entre otros, Instituto Mexicano de Psiquiatría y la Fundación para la Justicia y el Estado Democrático de Derecho</w:t>
      </w:r>
      <w:r w:rsidR="00716202">
        <w:rPr>
          <w:rFonts w:ascii="Times New Roman" w:hAnsi="Times New Roman"/>
          <w:sz w:val="24"/>
          <w:szCs w:val="24"/>
        </w:rPr>
        <w:t>.</w:t>
      </w:r>
    </w:p>
    <w:p w14:paraId="24DEC261" w14:textId="77777777" w:rsidR="00241C6E" w:rsidRPr="005667EB" w:rsidRDefault="00241C6E" w:rsidP="005A5E1E">
      <w:pPr>
        <w:pStyle w:val="Prrafodelista"/>
        <w:spacing w:after="0" w:line="480" w:lineRule="auto"/>
        <w:jc w:val="both"/>
        <w:rPr>
          <w:rFonts w:ascii="Times New Roman" w:hAnsi="Times New Roman"/>
          <w:b/>
          <w:sz w:val="24"/>
          <w:szCs w:val="24"/>
        </w:rPr>
      </w:pPr>
    </w:p>
    <w:p w14:paraId="3C9D50A4" w14:textId="2763ADD7" w:rsidR="00241C6E" w:rsidRPr="005667EB" w:rsidRDefault="00894507" w:rsidP="005A5E1E">
      <w:pPr>
        <w:spacing w:after="0" w:line="480" w:lineRule="auto"/>
        <w:contextualSpacing/>
        <w:jc w:val="both"/>
        <w:rPr>
          <w:rFonts w:ascii="Times New Roman" w:hAnsi="Times New Roman"/>
          <w:b/>
          <w:color w:val="FF0000"/>
          <w:sz w:val="24"/>
          <w:szCs w:val="24"/>
        </w:rPr>
      </w:pPr>
      <w:r w:rsidRPr="005667EB">
        <w:rPr>
          <w:rFonts w:ascii="Times New Roman" w:hAnsi="Times New Roman"/>
          <w:b/>
          <w:color w:val="FF0000"/>
          <w:sz w:val="24"/>
          <w:szCs w:val="24"/>
        </w:rPr>
        <w:t>SEGURIDAD</w:t>
      </w:r>
    </w:p>
    <w:p w14:paraId="7A2B674F" w14:textId="77777777" w:rsidR="00241C6E" w:rsidRDefault="00241C6E" w:rsidP="005A5E1E">
      <w:pPr>
        <w:spacing w:after="0" w:line="480" w:lineRule="auto"/>
        <w:contextualSpacing/>
        <w:jc w:val="both"/>
        <w:rPr>
          <w:rFonts w:ascii="Times New Roman" w:hAnsi="Times New Roman"/>
          <w:color w:val="FF0000"/>
          <w:sz w:val="24"/>
          <w:szCs w:val="24"/>
        </w:rPr>
      </w:pPr>
      <w:r w:rsidRPr="005667EB">
        <w:rPr>
          <w:rFonts w:ascii="Times New Roman" w:hAnsi="Times New Roman"/>
          <w:color w:val="FF0000"/>
          <w:sz w:val="24"/>
          <w:szCs w:val="24"/>
        </w:rPr>
        <w:t>Tomando en cuenta la situación de violencia e inseguridad que existe en el país, y especialmente, por el carácter de este proyecto de investigación, el aspecto de la seguridad de los involucrados –tanto del equipo de investigación como de las víctimas, testigos y expertos– será abordado de la siguiente manera:</w:t>
      </w:r>
    </w:p>
    <w:p w14:paraId="7442FF36" w14:textId="77777777" w:rsidR="00241C6E" w:rsidRPr="005667EB" w:rsidRDefault="00241C6E" w:rsidP="005A5E1E">
      <w:pPr>
        <w:spacing w:after="0" w:line="480" w:lineRule="auto"/>
        <w:contextualSpacing/>
        <w:jc w:val="both"/>
        <w:rPr>
          <w:rFonts w:ascii="Times New Roman" w:hAnsi="Times New Roman"/>
          <w:i/>
          <w:color w:val="FF0000"/>
          <w:sz w:val="24"/>
          <w:szCs w:val="24"/>
        </w:rPr>
      </w:pPr>
      <w:r w:rsidRPr="005667EB">
        <w:rPr>
          <w:rFonts w:ascii="Times New Roman" w:hAnsi="Times New Roman"/>
          <w:i/>
          <w:color w:val="FF0000"/>
          <w:sz w:val="24"/>
          <w:szCs w:val="24"/>
        </w:rPr>
        <w:t>Víctimas, testigos y expertos</w:t>
      </w:r>
    </w:p>
    <w:p w14:paraId="4945BAD2" w14:textId="77777777" w:rsidR="00241C6E" w:rsidRDefault="00241C6E" w:rsidP="005A5E1E">
      <w:pPr>
        <w:spacing w:after="0" w:line="480" w:lineRule="auto"/>
        <w:contextualSpacing/>
        <w:jc w:val="both"/>
        <w:rPr>
          <w:rFonts w:ascii="Times New Roman" w:hAnsi="Times New Roman"/>
          <w:color w:val="FF0000"/>
          <w:sz w:val="24"/>
          <w:szCs w:val="24"/>
        </w:rPr>
      </w:pPr>
      <w:r w:rsidRPr="005667EB">
        <w:rPr>
          <w:rFonts w:ascii="Times New Roman" w:hAnsi="Times New Roman"/>
          <w:color w:val="FF0000"/>
          <w:sz w:val="24"/>
          <w:szCs w:val="24"/>
        </w:rPr>
        <w:t xml:space="preserve">Para asegurar la cooperación de víctimas, testigos y expertos durante la realización de la investigación, se trabajará junto con la CEAV un plan de medidas para ser ofrecidas a ellos, tomando en cuenta la legislación mexicana y las facultades de las diversas instituciones del Estado que se vean involucradas. </w:t>
      </w:r>
    </w:p>
    <w:p w14:paraId="553225A0" w14:textId="77777777" w:rsidR="00241C6E" w:rsidRPr="005667EB" w:rsidRDefault="00241C6E" w:rsidP="005A5E1E">
      <w:pPr>
        <w:spacing w:after="0" w:line="480" w:lineRule="auto"/>
        <w:contextualSpacing/>
        <w:jc w:val="both"/>
        <w:rPr>
          <w:rFonts w:ascii="Times New Roman" w:hAnsi="Times New Roman"/>
          <w:i/>
          <w:color w:val="FF0000"/>
          <w:sz w:val="24"/>
          <w:szCs w:val="24"/>
        </w:rPr>
      </w:pPr>
      <w:r w:rsidRPr="005667EB">
        <w:rPr>
          <w:rFonts w:ascii="Times New Roman" w:hAnsi="Times New Roman"/>
          <w:i/>
          <w:color w:val="FF0000"/>
          <w:sz w:val="24"/>
          <w:szCs w:val="24"/>
        </w:rPr>
        <w:t>Equipo de investigación</w:t>
      </w:r>
    </w:p>
    <w:p w14:paraId="7FDA5B97" w14:textId="77777777" w:rsidR="00241C6E" w:rsidRPr="005667EB" w:rsidRDefault="00241C6E" w:rsidP="005A5E1E">
      <w:pPr>
        <w:spacing w:after="0" w:line="480" w:lineRule="auto"/>
        <w:contextualSpacing/>
        <w:jc w:val="both"/>
        <w:rPr>
          <w:rFonts w:ascii="Times New Roman" w:hAnsi="Times New Roman"/>
          <w:color w:val="FF0000"/>
          <w:sz w:val="24"/>
          <w:szCs w:val="24"/>
        </w:rPr>
      </w:pPr>
      <w:r w:rsidRPr="005667EB">
        <w:rPr>
          <w:rFonts w:ascii="Times New Roman" w:hAnsi="Times New Roman"/>
          <w:color w:val="FF0000"/>
          <w:sz w:val="24"/>
          <w:szCs w:val="24"/>
        </w:rPr>
        <w:t xml:space="preserve">Para afrontar de manera adecuada cualquier riesgo que pudiese llegar a existir en la investigación, el equipo de investigación realizará un análisis de riesgo (análisis de contexto, análisis de actores, análisis de amenazas e incidentes de seguridad, análisis de </w:t>
      </w:r>
      <w:r w:rsidRPr="005667EB">
        <w:rPr>
          <w:rFonts w:ascii="Times New Roman" w:hAnsi="Times New Roman"/>
          <w:color w:val="FF0000"/>
          <w:sz w:val="24"/>
          <w:szCs w:val="24"/>
        </w:rPr>
        <w:lastRenderedPageBreak/>
        <w:t>vulnerabilidades y capacidades), y derivado de ello, se obtendrá un plan de seguridad. El análisis de riesgo se actualizará de manera periódica para hacer los ajustes necesarios al plan de seguridad.</w:t>
      </w:r>
    </w:p>
    <w:p w14:paraId="3B78F8CA" w14:textId="77777777" w:rsidR="00241C6E" w:rsidRPr="005667EB" w:rsidRDefault="00241C6E" w:rsidP="005A5E1E">
      <w:pPr>
        <w:spacing w:after="0" w:line="480" w:lineRule="auto"/>
        <w:contextualSpacing/>
        <w:jc w:val="both"/>
        <w:rPr>
          <w:rFonts w:ascii="Times New Roman" w:hAnsi="Times New Roman"/>
          <w:i/>
          <w:color w:val="FF0000"/>
          <w:sz w:val="24"/>
          <w:szCs w:val="24"/>
        </w:rPr>
      </w:pPr>
      <w:r w:rsidRPr="005667EB">
        <w:rPr>
          <w:rFonts w:ascii="Times New Roman" w:hAnsi="Times New Roman"/>
          <w:i/>
          <w:color w:val="FF0000"/>
          <w:sz w:val="24"/>
          <w:szCs w:val="24"/>
        </w:rPr>
        <w:t xml:space="preserve">Material recopilado </w:t>
      </w:r>
    </w:p>
    <w:p w14:paraId="10D3DAFC" w14:textId="3EE77C0E" w:rsidR="00241C6E" w:rsidRPr="005667EB" w:rsidRDefault="00241C6E" w:rsidP="005A5E1E">
      <w:pPr>
        <w:pStyle w:val="Prrafodelista"/>
        <w:spacing w:after="0" w:line="480" w:lineRule="auto"/>
        <w:ind w:left="0"/>
        <w:jc w:val="both"/>
        <w:rPr>
          <w:rFonts w:ascii="Times New Roman" w:hAnsi="Times New Roman"/>
          <w:b/>
          <w:sz w:val="24"/>
          <w:szCs w:val="24"/>
        </w:rPr>
      </w:pPr>
      <w:r w:rsidRPr="005667EB">
        <w:rPr>
          <w:rFonts w:ascii="Times New Roman" w:hAnsi="Times New Roman"/>
          <w:color w:val="FF0000"/>
          <w:sz w:val="24"/>
          <w:szCs w:val="24"/>
        </w:rPr>
        <w:t xml:space="preserve">Dentro del plan de seguridad del equipo de investigación se realizará un protocolo de seguridad </w:t>
      </w:r>
      <w:r w:rsidR="00894507" w:rsidRPr="005667EB">
        <w:rPr>
          <w:rFonts w:ascii="Times New Roman" w:hAnsi="Times New Roman"/>
          <w:color w:val="FF0000"/>
          <w:sz w:val="24"/>
          <w:szCs w:val="24"/>
        </w:rPr>
        <w:t>física</w:t>
      </w:r>
      <w:r w:rsidRPr="005667EB">
        <w:rPr>
          <w:rFonts w:ascii="Times New Roman" w:hAnsi="Times New Roman"/>
          <w:color w:val="FF0000"/>
          <w:sz w:val="24"/>
          <w:szCs w:val="24"/>
        </w:rPr>
        <w:t xml:space="preserve"> y digital para los documentos que se vayan generando y almacenando.</w:t>
      </w:r>
    </w:p>
    <w:p w14:paraId="2B33654E" w14:textId="5B31E9AF" w:rsidR="00BF78DE" w:rsidRPr="000B69F7" w:rsidRDefault="00AF0A94" w:rsidP="00241C6E">
      <w:pPr>
        <w:pStyle w:val="Prrafodelista"/>
        <w:spacing w:after="0" w:line="480" w:lineRule="auto"/>
        <w:jc w:val="both"/>
        <w:rPr>
          <w:rFonts w:ascii="Times New Roman" w:hAnsi="Times New Roman"/>
          <w:b/>
          <w:sz w:val="24"/>
          <w:szCs w:val="24"/>
        </w:rPr>
      </w:pPr>
      <w:r>
        <w:rPr>
          <w:rFonts w:ascii="Times New Roman" w:hAnsi="Times New Roman"/>
          <w:sz w:val="24"/>
          <w:szCs w:val="24"/>
        </w:rPr>
        <w:t xml:space="preserve">. </w:t>
      </w:r>
    </w:p>
    <w:sectPr w:rsidR="00BF78DE" w:rsidRPr="000B69F7" w:rsidSect="00B00F6E">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DA3D" w14:textId="77777777" w:rsidR="00B97027" w:rsidRDefault="00B97027" w:rsidP="00E64A33">
      <w:pPr>
        <w:spacing w:after="0" w:line="240" w:lineRule="auto"/>
      </w:pPr>
      <w:r>
        <w:separator/>
      </w:r>
    </w:p>
  </w:endnote>
  <w:endnote w:type="continuationSeparator" w:id="0">
    <w:p w14:paraId="16FA5A81" w14:textId="77777777" w:rsidR="00B97027" w:rsidRDefault="00B97027" w:rsidP="00E6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D3CD" w14:textId="77777777" w:rsidR="00B97027" w:rsidRDefault="00B97027" w:rsidP="00E64A33">
      <w:pPr>
        <w:spacing w:after="0" w:line="240" w:lineRule="auto"/>
      </w:pPr>
      <w:r>
        <w:separator/>
      </w:r>
    </w:p>
  </w:footnote>
  <w:footnote w:type="continuationSeparator" w:id="0">
    <w:p w14:paraId="2E67DADE" w14:textId="77777777" w:rsidR="00B97027" w:rsidRDefault="00B97027" w:rsidP="00E64A33">
      <w:pPr>
        <w:spacing w:after="0" w:line="240" w:lineRule="auto"/>
      </w:pPr>
      <w:r>
        <w:continuationSeparator/>
      </w:r>
    </w:p>
  </w:footnote>
  <w:footnote w:id="1">
    <w:p w14:paraId="0CE99C5A" w14:textId="6C84BA5F"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Artículo 79 de la Ley General de Víctimas, </w:t>
      </w:r>
      <w:r w:rsidRPr="005E410C">
        <w:rPr>
          <w:rFonts w:ascii="Times New Roman" w:hAnsi="Times New Roman"/>
          <w:i/>
          <w:sz w:val="18"/>
          <w:szCs w:val="18"/>
          <w:lang w:val="es-ES_tradnl"/>
        </w:rPr>
        <w:t>Diario Oficial de la Federación</w:t>
      </w:r>
      <w:r w:rsidRPr="00EF3B69">
        <w:rPr>
          <w:rFonts w:ascii="Times New Roman" w:hAnsi="Times New Roman"/>
          <w:sz w:val="18"/>
          <w:szCs w:val="18"/>
          <w:lang w:val="es-ES_tradnl"/>
        </w:rPr>
        <w:t>, México, 9 de enero de 2013.</w:t>
      </w:r>
    </w:p>
  </w:footnote>
  <w:footnote w:id="2">
    <w:p w14:paraId="791FEAA1" w14:textId="4AC34D6C"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Artículo 84 de la Ley General de Víctimas, </w:t>
      </w:r>
      <w:r w:rsidRPr="005E410C">
        <w:rPr>
          <w:rFonts w:ascii="Times New Roman" w:hAnsi="Times New Roman"/>
          <w:i/>
          <w:sz w:val="18"/>
          <w:szCs w:val="18"/>
          <w:lang w:val="es-ES_tradnl"/>
        </w:rPr>
        <w:t>Diario Oficial de la Federación</w:t>
      </w:r>
      <w:r w:rsidRPr="00EF3B69">
        <w:rPr>
          <w:rFonts w:ascii="Times New Roman" w:hAnsi="Times New Roman"/>
          <w:sz w:val="18"/>
          <w:szCs w:val="18"/>
          <w:lang w:val="es-ES_tradnl"/>
        </w:rPr>
        <w:t>, México, 9 de enero de 2013.</w:t>
      </w:r>
    </w:p>
  </w:footnote>
  <w:footnote w:id="3">
    <w:p w14:paraId="1C9E3F77" w14:textId="48770649"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Artículo 88 de la Ley General de Víctimas, Diario Oficial de la Federación, México, 9 de enero de 2013.</w:t>
      </w:r>
    </w:p>
  </w:footnote>
  <w:footnote w:id="4">
    <w:p w14:paraId="1A038A8D" w14:textId="05165D04"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Una visión crítica la presenta la Fundación para la Justicia y el Estado Democrático de Derecho, </w:t>
      </w:r>
      <w:hyperlink r:id="rId1" w:history="1">
        <w:r w:rsidRPr="00EF3B69">
          <w:rPr>
            <w:rStyle w:val="Hipervnculo"/>
            <w:rFonts w:ascii="Times New Roman" w:hAnsi="Times New Roman"/>
            <w:i/>
            <w:sz w:val="18"/>
            <w:szCs w:val="18"/>
          </w:rPr>
          <w:t>Masacre de 72 migrantes en San Fernando</w:t>
        </w:r>
      </w:hyperlink>
      <w:r w:rsidRPr="00EF3B69">
        <w:rPr>
          <w:rFonts w:ascii="Times New Roman" w:hAnsi="Times New Roman"/>
          <w:sz w:val="18"/>
          <w:szCs w:val="18"/>
        </w:rPr>
        <w:t xml:space="preserve">; Periodistas de a pie, </w:t>
      </w:r>
      <w:hyperlink r:id="rId2" w:history="1">
        <w:r w:rsidRPr="00EF3B69">
          <w:rPr>
            <w:rStyle w:val="Hipervnculo"/>
            <w:rFonts w:ascii="Times New Roman" w:hAnsi="Times New Roman"/>
            <w:i/>
            <w:sz w:val="18"/>
            <w:szCs w:val="18"/>
          </w:rPr>
          <w:t>+ de 72</w:t>
        </w:r>
      </w:hyperlink>
      <w:r w:rsidRPr="00EF3B69">
        <w:rPr>
          <w:rFonts w:ascii="Times New Roman" w:hAnsi="Times New Roman"/>
          <w:sz w:val="18"/>
          <w:szCs w:val="18"/>
        </w:rPr>
        <w:t xml:space="preserve">, Capítulo 1. La Masacre; ----, </w:t>
      </w:r>
      <w:hyperlink r:id="rId3" w:history="1">
        <w:r w:rsidRPr="00EF3B69">
          <w:rPr>
            <w:rStyle w:val="Hipervnculo"/>
            <w:rFonts w:ascii="Times New Roman" w:hAnsi="Times New Roman"/>
            <w:sz w:val="18"/>
            <w:szCs w:val="18"/>
          </w:rPr>
          <w:t>“A 5 años de masacre de 72 migrantes en San Fernando, caso sigue impune: Amnistía Internacional”</w:t>
        </w:r>
      </w:hyperlink>
      <w:r w:rsidRPr="00EF3B69">
        <w:rPr>
          <w:rFonts w:ascii="Times New Roman" w:hAnsi="Times New Roman"/>
          <w:sz w:val="18"/>
          <w:szCs w:val="18"/>
        </w:rPr>
        <w:t xml:space="preserve">, </w:t>
      </w:r>
      <w:r w:rsidRPr="00EF3B69">
        <w:rPr>
          <w:rFonts w:ascii="Times New Roman" w:hAnsi="Times New Roman"/>
          <w:i/>
          <w:sz w:val="18"/>
          <w:szCs w:val="18"/>
        </w:rPr>
        <w:t>Animal Político</w:t>
      </w:r>
      <w:r w:rsidRPr="00EF3B69">
        <w:rPr>
          <w:rFonts w:ascii="Times New Roman" w:hAnsi="Times New Roman"/>
          <w:sz w:val="18"/>
          <w:szCs w:val="18"/>
        </w:rPr>
        <w:t xml:space="preserve">, 22 de agosto de 2015; </w:t>
      </w:r>
    </w:p>
  </w:footnote>
  <w:footnote w:id="5">
    <w:p w14:paraId="5304A02B" w14:textId="77777777"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Franzblau, Jesse, </w:t>
      </w:r>
      <w:hyperlink r:id="rId4" w:history="1">
        <w:r w:rsidRPr="00EF3B69">
          <w:rPr>
            <w:rStyle w:val="Hipervnculo"/>
            <w:rFonts w:ascii="Times New Roman" w:hAnsi="Times New Roman"/>
            <w:sz w:val="18"/>
            <w:szCs w:val="18"/>
            <w:lang w:val="es-ES_tradnl"/>
          </w:rPr>
          <w:t>“PGR entrega datos sobre participación de policías de San Fernando en masacre de migrantes”</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Animal Político</w:t>
      </w:r>
      <w:r w:rsidRPr="00EF3B69">
        <w:rPr>
          <w:rFonts w:ascii="Times New Roman" w:hAnsi="Times New Roman"/>
          <w:sz w:val="18"/>
          <w:szCs w:val="18"/>
          <w:lang w:val="es-ES_tradnl"/>
        </w:rPr>
        <w:t xml:space="preserve">, 22 de diciembre de 2014; Méndez, Alfredo, </w:t>
      </w:r>
      <w:hyperlink r:id="rId5" w:history="1">
        <w:r w:rsidRPr="00EF3B69">
          <w:rPr>
            <w:rStyle w:val="Hipervnculo"/>
            <w:rFonts w:ascii="Times New Roman" w:hAnsi="Times New Roman"/>
            <w:sz w:val="18"/>
            <w:szCs w:val="18"/>
            <w:lang w:val="es-ES_tradnl"/>
          </w:rPr>
          <w:t>“PGR: al menos 17 policías, vinculados en la masacre de San Fernando, Tamaulipas”</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La Jornada</w:t>
      </w:r>
      <w:r w:rsidRPr="00EF3B69">
        <w:rPr>
          <w:rFonts w:ascii="Times New Roman" w:hAnsi="Times New Roman"/>
          <w:sz w:val="18"/>
          <w:szCs w:val="18"/>
          <w:lang w:val="es-ES_tradnl"/>
        </w:rPr>
        <w:t>, 23 de diciembre de 2014.</w:t>
      </w:r>
    </w:p>
  </w:footnote>
  <w:footnote w:id="6">
    <w:p w14:paraId="3B808232" w14:textId="62123154"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Turati, Marcela, </w:t>
      </w:r>
      <w:hyperlink r:id="rId6" w:history="1">
        <w:r w:rsidRPr="00EF3B69">
          <w:rPr>
            <w:rStyle w:val="Hipervnculo"/>
            <w:rFonts w:ascii="Times New Roman" w:hAnsi="Times New Roman"/>
            <w:sz w:val="18"/>
            <w:szCs w:val="18"/>
            <w:lang w:val="es-ES_tradnl"/>
          </w:rPr>
          <w:t>“La matanza de San Fernando: inconsistencias y falsedades”</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Proceso</w:t>
      </w:r>
      <w:r w:rsidRPr="00EF3B69">
        <w:rPr>
          <w:rFonts w:ascii="Times New Roman" w:hAnsi="Times New Roman"/>
          <w:sz w:val="18"/>
          <w:szCs w:val="18"/>
          <w:lang w:val="es-ES_tradnl"/>
        </w:rPr>
        <w:t xml:space="preserve">, 26 de mayo de 2015; </w:t>
      </w:r>
      <w:r w:rsidRPr="00EF3B69">
        <w:rPr>
          <w:rFonts w:ascii="Times New Roman" w:hAnsi="Times New Roman"/>
          <w:sz w:val="18"/>
          <w:szCs w:val="18"/>
        </w:rPr>
        <w:t xml:space="preserve">Periodistas de a pie, </w:t>
      </w:r>
      <w:hyperlink r:id="rId7" w:history="1">
        <w:r w:rsidRPr="00EF3B69">
          <w:rPr>
            <w:rStyle w:val="Hipervnculo"/>
            <w:rFonts w:ascii="Times New Roman" w:hAnsi="Times New Roman"/>
            <w:i/>
            <w:sz w:val="18"/>
            <w:szCs w:val="18"/>
          </w:rPr>
          <w:t>+ de 72</w:t>
        </w:r>
      </w:hyperlink>
      <w:r w:rsidRPr="00EF3B69">
        <w:rPr>
          <w:rFonts w:ascii="Times New Roman" w:hAnsi="Times New Roman"/>
          <w:sz w:val="18"/>
          <w:szCs w:val="18"/>
        </w:rPr>
        <w:t xml:space="preserve">, Capítulo 1. La Masacre; Fundación para la Justicia y el Estado Democrático de Derecho, </w:t>
      </w:r>
      <w:hyperlink r:id="rId8" w:history="1">
        <w:r w:rsidRPr="00EF3B69">
          <w:rPr>
            <w:rStyle w:val="Hipervnculo"/>
            <w:rFonts w:ascii="Times New Roman" w:hAnsi="Times New Roman"/>
            <w:i/>
            <w:sz w:val="18"/>
            <w:szCs w:val="18"/>
          </w:rPr>
          <w:t>Litigio en la SCJN: Caso fosas clandestinas de San Fernando</w:t>
        </w:r>
      </w:hyperlink>
      <w:r w:rsidRPr="00EF3B69">
        <w:rPr>
          <w:rFonts w:ascii="Times New Roman" w:hAnsi="Times New Roman"/>
          <w:sz w:val="18"/>
          <w:szCs w:val="18"/>
        </w:rPr>
        <w:t>, 17 de febrero de 2016.</w:t>
      </w:r>
    </w:p>
  </w:footnote>
  <w:footnote w:id="7">
    <w:p w14:paraId="3ADD0639" w14:textId="0BDD40F4"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Comisión Interamericana de Derechos Humanos, Comunicado de Prensa No. 86/10, </w:t>
      </w:r>
      <w:hyperlink r:id="rId9" w:history="1">
        <w:r w:rsidRPr="00EF3B69">
          <w:rPr>
            <w:rStyle w:val="Hipervnculo"/>
            <w:rFonts w:ascii="Times New Roman" w:hAnsi="Times New Roman"/>
            <w:i/>
            <w:sz w:val="18"/>
            <w:szCs w:val="18"/>
          </w:rPr>
          <w:t>CIDH condena matanza de inmigrantes en México</w:t>
        </w:r>
      </w:hyperlink>
      <w:r w:rsidRPr="00EF3B69">
        <w:rPr>
          <w:rFonts w:ascii="Times New Roman" w:hAnsi="Times New Roman"/>
          <w:sz w:val="18"/>
          <w:szCs w:val="18"/>
        </w:rPr>
        <w:t xml:space="preserve">, 27 de agosto de 2010; Comisión Interamericana de Derechos Humanos, </w:t>
      </w:r>
      <w:hyperlink r:id="rId10" w:history="1">
        <w:r w:rsidRPr="00EF3B69">
          <w:rPr>
            <w:rStyle w:val="Hipervnculo"/>
            <w:rFonts w:ascii="Times New Roman" w:hAnsi="Times New Roman"/>
            <w:i/>
            <w:sz w:val="18"/>
            <w:szCs w:val="18"/>
          </w:rPr>
          <w:t>Derechos humanos de los migrantes y otras personas en el contexto de la movilidad humana en México</w:t>
        </w:r>
      </w:hyperlink>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OEA/Ser.L/V/II. Doc. 48/13, 30 de diciembre 2013; </w:t>
      </w:r>
      <w:r w:rsidRPr="00EF3B69">
        <w:rPr>
          <w:rFonts w:ascii="Times New Roman" w:hAnsi="Times New Roman"/>
          <w:sz w:val="18"/>
          <w:szCs w:val="18"/>
        </w:rPr>
        <w:t xml:space="preserve">Comisión Nacional de los Derechos Humanos, Recomendación 83/2013, </w:t>
      </w:r>
      <w:hyperlink r:id="rId11" w:history="1">
        <w:r w:rsidRPr="00EF3B69">
          <w:rPr>
            <w:rStyle w:val="Hipervnculo"/>
            <w:rFonts w:ascii="Times New Roman" w:hAnsi="Times New Roman"/>
            <w:i/>
            <w:sz w:val="18"/>
            <w:szCs w:val="18"/>
          </w:rPr>
          <w:t>Caso de privación de la vida de 72 personas migrantes y atentados a la vida de los extranjeros V73 y V74, en el municipio de San Fernando, Tamaulipas</w:t>
        </w:r>
      </w:hyperlink>
      <w:r w:rsidRPr="00EF3B69">
        <w:rPr>
          <w:rFonts w:ascii="Times New Roman" w:hAnsi="Times New Roman"/>
          <w:sz w:val="18"/>
          <w:szCs w:val="18"/>
        </w:rPr>
        <w:t xml:space="preserve">; Cámara de Diputados, </w:t>
      </w:r>
      <w:hyperlink r:id="rId12" w:history="1">
        <w:r w:rsidRPr="00EF3B69">
          <w:rPr>
            <w:rStyle w:val="Hipervnculo"/>
            <w:rFonts w:ascii="Times New Roman" w:hAnsi="Times New Roman"/>
            <w:i/>
            <w:sz w:val="18"/>
            <w:szCs w:val="18"/>
            <w:lang w:val="es-ES_tradnl"/>
          </w:rPr>
          <w:t>De la Comisión de Asuntos Migratorios, con puntos de acuerdo para exhortar a la Comisión Nacional de los Derechos Humanos sobre la masacre de 72 migrantes en San Fernando, Tamaulipas</w:t>
        </w:r>
      </w:hyperlink>
      <w:r w:rsidRPr="00EF3B69">
        <w:rPr>
          <w:rFonts w:ascii="Times New Roman" w:hAnsi="Times New Roman"/>
          <w:sz w:val="18"/>
          <w:szCs w:val="18"/>
          <w:lang w:val="es-ES_tradnl"/>
        </w:rPr>
        <w:t xml:space="preserve">, Gaceta Parlamentaria, Número 4117-IV, 23 de septiembre de 2014; Naciones Unidas, Comité de Protección de los Derechos de Todos los Trabajadores Migratorios y de sus Familiares, </w:t>
      </w:r>
      <w:hyperlink r:id="rId13" w:history="1">
        <w:r w:rsidRPr="00EF3B69">
          <w:rPr>
            <w:rStyle w:val="Hipervnculo"/>
            <w:rFonts w:ascii="Times New Roman" w:hAnsi="Times New Roman"/>
            <w:i/>
            <w:sz w:val="18"/>
            <w:szCs w:val="18"/>
            <w:lang w:val="es-ES_tradnl"/>
          </w:rPr>
          <w:t>Examen de los informes presentados por los Estados partes en virtud del artículo 74 de la Convención. Observaciones finales del Comité de Protección de los Derechos de Todos los Trabajadores Migratorios y de sus Familiares. México</w:t>
        </w:r>
      </w:hyperlink>
      <w:r w:rsidRPr="00EF3B69">
        <w:rPr>
          <w:rFonts w:ascii="Times New Roman" w:hAnsi="Times New Roman"/>
          <w:sz w:val="18"/>
          <w:szCs w:val="18"/>
          <w:lang w:val="es-ES_tradnl"/>
        </w:rPr>
        <w:t>, 3 de mayo de 2011</w:t>
      </w:r>
    </w:p>
  </w:footnote>
  <w:footnote w:id="8">
    <w:p w14:paraId="503E481A" w14:textId="767A0A62" w:rsidR="000F4278" w:rsidRPr="00EF3B69" w:rsidRDefault="000F4278" w:rsidP="00EF3B69">
      <w:pPr>
        <w:pStyle w:val="Textonotapie"/>
        <w:contextualSpacing/>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Fundación para la Justicia y el Estado Democrático de Derecho, </w:t>
      </w:r>
      <w:hyperlink r:id="rId14" w:history="1">
        <w:r w:rsidRPr="00EF3B69">
          <w:rPr>
            <w:rStyle w:val="Hipervnculo"/>
            <w:rFonts w:ascii="Times New Roman" w:hAnsi="Times New Roman"/>
            <w:i/>
            <w:sz w:val="18"/>
            <w:szCs w:val="18"/>
          </w:rPr>
          <w:t>Litigio en la SCJN: Caso fosas clandestinas de San Fernando</w:t>
        </w:r>
      </w:hyperlink>
      <w:r w:rsidRPr="00EF3B69">
        <w:rPr>
          <w:rFonts w:ascii="Times New Roman" w:hAnsi="Times New Roman"/>
          <w:sz w:val="18"/>
          <w:szCs w:val="18"/>
        </w:rPr>
        <w:t xml:space="preserve">, 17 de febrero de 2016; Fundación para la Justicia y el Estado Democrático de Derecho, </w:t>
      </w:r>
      <w:hyperlink r:id="rId15" w:history="1">
        <w:r w:rsidRPr="00EF3B69">
          <w:rPr>
            <w:rStyle w:val="Hipervnculo"/>
            <w:rFonts w:ascii="Times New Roman" w:hAnsi="Times New Roman"/>
            <w:i/>
            <w:sz w:val="18"/>
            <w:szCs w:val="18"/>
          </w:rPr>
          <w:t>Primer caso de masacres de migrantes ante SCJN: Una oportunidad para proteger los derechos de las víctimas y familiares</w:t>
        </w:r>
      </w:hyperlink>
      <w:r w:rsidRPr="00EF3B69">
        <w:rPr>
          <w:rFonts w:ascii="Times New Roman" w:hAnsi="Times New Roman"/>
          <w:i/>
          <w:sz w:val="18"/>
          <w:szCs w:val="18"/>
        </w:rPr>
        <w:t xml:space="preserve">, </w:t>
      </w:r>
      <w:r w:rsidRPr="00EF3B69">
        <w:rPr>
          <w:rFonts w:ascii="Times New Roman" w:hAnsi="Times New Roman"/>
          <w:sz w:val="18"/>
          <w:szCs w:val="18"/>
        </w:rPr>
        <w:t>17 de febrero de 2016.</w:t>
      </w:r>
    </w:p>
  </w:footnote>
  <w:footnote w:id="9">
    <w:p w14:paraId="679E4820" w14:textId="59EC3AD6"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Martínez Ahrens, Jan, </w:t>
      </w:r>
      <w:hyperlink r:id="rId16" w:history="1">
        <w:r w:rsidRPr="00EF3B69">
          <w:rPr>
            <w:rStyle w:val="Hipervnculo"/>
            <w:rFonts w:ascii="Times New Roman" w:hAnsi="Times New Roman"/>
            <w:sz w:val="18"/>
            <w:szCs w:val="18"/>
            <w:lang w:val="es-ES_tradnl"/>
          </w:rPr>
          <w:t>“Silencio, aquí se mata”</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El País</w:t>
      </w:r>
      <w:r w:rsidRPr="00EF3B69">
        <w:rPr>
          <w:rFonts w:ascii="Times New Roman" w:hAnsi="Times New Roman"/>
          <w:sz w:val="18"/>
          <w:szCs w:val="18"/>
          <w:lang w:val="es-ES_tradnl"/>
        </w:rPr>
        <w:t>, 5 de julio de 2014.</w:t>
      </w:r>
    </w:p>
  </w:footnote>
  <w:footnote w:id="10">
    <w:p w14:paraId="2F37EAB4" w14:textId="2BDD8864" w:rsidR="000F4278" w:rsidRPr="00032394" w:rsidRDefault="000F4278">
      <w:pPr>
        <w:pStyle w:val="Textonotapie"/>
        <w:rPr>
          <w:lang w:val="es-ES_tradnl"/>
        </w:rPr>
      </w:pPr>
      <w:r>
        <w:rPr>
          <w:rStyle w:val="Refdenotaalpie"/>
        </w:rPr>
        <w:footnoteRef/>
      </w:r>
      <w:r>
        <w:t xml:space="preserve"> </w:t>
      </w:r>
      <w:r w:rsidRPr="00EF3B69">
        <w:rPr>
          <w:rFonts w:ascii="Times New Roman" w:hAnsi="Times New Roman"/>
          <w:sz w:val="18"/>
          <w:szCs w:val="18"/>
        </w:rPr>
        <w:t xml:space="preserve">Gudiño, Alma, </w:t>
      </w:r>
      <w:hyperlink r:id="rId17" w:history="1">
        <w:r w:rsidRPr="00EF3B69">
          <w:rPr>
            <w:rStyle w:val="Hipervnculo"/>
            <w:rFonts w:ascii="Times New Roman" w:hAnsi="Times New Roman"/>
            <w:sz w:val="18"/>
            <w:szCs w:val="18"/>
          </w:rPr>
          <w:t>“Cifra de desaparecidos en Allende no son 300 sino 28: PGJE de Coahuila”</w:t>
        </w:r>
      </w:hyperlink>
      <w:r w:rsidRPr="00EF3B69">
        <w:rPr>
          <w:rFonts w:ascii="Times New Roman" w:hAnsi="Times New Roman"/>
          <w:sz w:val="18"/>
          <w:szCs w:val="18"/>
        </w:rPr>
        <w:t xml:space="preserve">, </w:t>
      </w:r>
      <w:r w:rsidRPr="00EF3B69">
        <w:rPr>
          <w:rFonts w:ascii="Times New Roman" w:hAnsi="Times New Roman"/>
          <w:i/>
          <w:sz w:val="18"/>
          <w:szCs w:val="18"/>
        </w:rPr>
        <w:t>Excelsior</w:t>
      </w:r>
      <w:r w:rsidRPr="00EF3B69">
        <w:rPr>
          <w:rFonts w:ascii="Times New Roman" w:hAnsi="Times New Roman"/>
          <w:sz w:val="18"/>
          <w:szCs w:val="18"/>
        </w:rPr>
        <w:t xml:space="preserve">, 12 de diciembre de 2014; ----, </w:t>
      </w:r>
      <w:hyperlink r:id="rId18" w:anchor=".Vs61bIzhDMI" w:history="1">
        <w:r w:rsidRPr="00EF3B69">
          <w:rPr>
            <w:rStyle w:val="Hipervnculo"/>
            <w:rFonts w:ascii="Times New Roman" w:hAnsi="Times New Roman"/>
            <w:sz w:val="18"/>
            <w:szCs w:val="18"/>
          </w:rPr>
          <w:t>“Coahuila: precisan datos de matanza”</w:t>
        </w:r>
      </w:hyperlink>
      <w:r w:rsidRPr="00EF3B69">
        <w:rPr>
          <w:rFonts w:ascii="Times New Roman" w:hAnsi="Times New Roman"/>
          <w:sz w:val="18"/>
          <w:szCs w:val="18"/>
        </w:rPr>
        <w:t xml:space="preserve">, </w:t>
      </w:r>
      <w:r w:rsidRPr="00EF3B69">
        <w:rPr>
          <w:rFonts w:ascii="Times New Roman" w:hAnsi="Times New Roman"/>
          <w:i/>
          <w:sz w:val="18"/>
          <w:szCs w:val="18"/>
        </w:rPr>
        <w:t>La Silla Rota</w:t>
      </w:r>
      <w:r w:rsidRPr="00EF3B69">
        <w:rPr>
          <w:rFonts w:ascii="Times New Roman" w:hAnsi="Times New Roman"/>
          <w:sz w:val="18"/>
          <w:szCs w:val="18"/>
        </w:rPr>
        <w:t>, 9 de diciembre de 2014</w:t>
      </w:r>
      <w:r>
        <w:rPr>
          <w:rFonts w:ascii="Times New Roman" w:hAnsi="Times New Roman"/>
          <w:sz w:val="18"/>
          <w:szCs w:val="18"/>
        </w:rPr>
        <w:t>.</w:t>
      </w:r>
    </w:p>
  </w:footnote>
  <w:footnote w:id="11">
    <w:p w14:paraId="26E26894" w14:textId="68055235" w:rsidR="000F4278" w:rsidRPr="00EF3B69" w:rsidRDefault="000F4278" w:rsidP="00EF3B69">
      <w:pPr>
        <w:pStyle w:val="Textonotapie"/>
        <w:jc w:val="both"/>
        <w:rPr>
          <w:rFonts w:ascii="Times New Roman" w:hAnsi="Times New Roman"/>
          <w:i/>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Martínez Ahrens, Jan, </w:t>
      </w:r>
      <w:hyperlink r:id="rId19" w:history="1">
        <w:r w:rsidRPr="00EF3B69">
          <w:rPr>
            <w:rStyle w:val="Hipervnculo"/>
            <w:rFonts w:ascii="Times New Roman" w:hAnsi="Times New Roman"/>
            <w:sz w:val="18"/>
            <w:szCs w:val="18"/>
            <w:lang w:val="es-ES_tradnl"/>
          </w:rPr>
          <w:t>“Silencio, aquí se mata”</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El País</w:t>
      </w:r>
      <w:r w:rsidRPr="00EF3B69">
        <w:rPr>
          <w:rFonts w:ascii="Times New Roman" w:hAnsi="Times New Roman"/>
          <w:sz w:val="18"/>
          <w:szCs w:val="18"/>
          <w:lang w:val="es-ES_tradnl"/>
        </w:rPr>
        <w:t>, 5 de julio de 2014.</w:t>
      </w:r>
    </w:p>
  </w:footnote>
  <w:footnote w:id="12">
    <w:p w14:paraId="1FC9883E" w14:textId="5456D775"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Osorno, Diego Enrique, </w:t>
      </w:r>
      <w:hyperlink r:id="rId20" w:history="1">
        <w:r w:rsidRPr="00EF3B69">
          <w:rPr>
            <w:rStyle w:val="Hipervnculo"/>
            <w:rFonts w:ascii="Times New Roman" w:hAnsi="Times New Roman"/>
            <w:sz w:val="18"/>
            <w:szCs w:val="18"/>
          </w:rPr>
          <w:t>“El manantial masacrado”</w:t>
        </w:r>
      </w:hyperlink>
      <w:r w:rsidRPr="00EF3B69">
        <w:rPr>
          <w:rFonts w:ascii="Times New Roman" w:hAnsi="Times New Roman"/>
          <w:sz w:val="18"/>
          <w:szCs w:val="18"/>
        </w:rPr>
        <w:t xml:space="preserve">, </w:t>
      </w:r>
      <w:r w:rsidRPr="00EF3B69">
        <w:rPr>
          <w:rFonts w:ascii="Times New Roman" w:hAnsi="Times New Roman"/>
          <w:i/>
          <w:sz w:val="18"/>
          <w:szCs w:val="18"/>
        </w:rPr>
        <w:t>Vice</w:t>
      </w:r>
      <w:r w:rsidRPr="00EF3B69">
        <w:rPr>
          <w:rFonts w:ascii="Times New Roman" w:hAnsi="Times New Roman"/>
          <w:sz w:val="18"/>
          <w:szCs w:val="18"/>
        </w:rPr>
        <w:t>, 19 de septiembre de 2014</w:t>
      </w:r>
    </w:p>
  </w:footnote>
  <w:footnote w:id="13">
    <w:p w14:paraId="18BD1C6B" w14:textId="78662C06"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w:t>
      </w:r>
      <w:r w:rsidRPr="00EF3B69">
        <w:rPr>
          <w:rFonts w:ascii="Times New Roman" w:hAnsi="Times New Roman"/>
          <w:sz w:val="18"/>
          <w:szCs w:val="18"/>
          <w:lang w:val="es-ES_tradnl"/>
        </w:rPr>
        <w:t xml:space="preserve">----, </w:t>
      </w:r>
      <w:hyperlink r:id="rId21" w:history="1">
        <w:r w:rsidRPr="00EF3B69">
          <w:rPr>
            <w:rStyle w:val="Hipervnculo"/>
            <w:rFonts w:ascii="Times New Roman" w:hAnsi="Times New Roman"/>
            <w:sz w:val="18"/>
            <w:szCs w:val="18"/>
            <w:lang w:val="es-ES_tradnl"/>
          </w:rPr>
          <w:t>“Rubén Moreira pide disculpas a familiares de los desaparecidos de Allende, Coahuila”</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Sin Embargo</w:t>
      </w:r>
      <w:r w:rsidRPr="00EF3B69">
        <w:rPr>
          <w:rFonts w:ascii="Times New Roman" w:hAnsi="Times New Roman"/>
          <w:sz w:val="18"/>
          <w:szCs w:val="18"/>
          <w:lang w:val="es-ES_tradnl"/>
        </w:rPr>
        <w:t xml:space="preserve">, 22 de octubre de 2015; Ramos, Leopoldo, </w:t>
      </w:r>
      <w:hyperlink r:id="rId22" w:history="1">
        <w:r w:rsidRPr="00EF3B69">
          <w:rPr>
            <w:rStyle w:val="Hipervnculo"/>
            <w:rFonts w:ascii="Times New Roman" w:hAnsi="Times New Roman"/>
            <w:sz w:val="18"/>
            <w:szCs w:val="18"/>
            <w:lang w:val="es-ES_tradnl"/>
          </w:rPr>
          <w:t>“Policías detenidos por secuestro masivo en Coahuila”</w:t>
        </w:r>
      </w:hyperlink>
      <w:r w:rsidRPr="00EF3B69">
        <w:rPr>
          <w:rFonts w:ascii="Times New Roman" w:hAnsi="Times New Roman"/>
          <w:sz w:val="18"/>
          <w:szCs w:val="18"/>
          <w:lang w:val="es-ES_tradnl"/>
        </w:rPr>
        <w:t xml:space="preserve">, </w:t>
      </w:r>
      <w:r w:rsidRPr="00EF3B69">
        <w:rPr>
          <w:rFonts w:ascii="Times New Roman" w:hAnsi="Times New Roman"/>
          <w:i/>
          <w:sz w:val="18"/>
          <w:szCs w:val="18"/>
          <w:lang w:val="es-ES_tradnl"/>
        </w:rPr>
        <w:t>La Jornada</w:t>
      </w:r>
      <w:r w:rsidRPr="00EF3B69">
        <w:rPr>
          <w:rFonts w:ascii="Times New Roman" w:hAnsi="Times New Roman"/>
          <w:sz w:val="18"/>
          <w:szCs w:val="18"/>
          <w:lang w:val="es-ES_tradnl"/>
        </w:rPr>
        <w:t>, 9 de diciembre de 2014.</w:t>
      </w:r>
    </w:p>
  </w:footnote>
  <w:footnote w:id="14">
    <w:p w14:paraId="0D2C8FE7" w14:textId="4DB69908" w:rsidR="000F4278" w:rsidRPr="00EF3B69" w:rsidRDefault="000F4278" w:rsidP="00EF3B69">
      <w:pPr>
        <w:pStyle w:val="Textonotapie"/>
        <w:jc w:val="both"/>
        <w:rPr>
          <w:rFonts w:ascii="Times New Roman" w:hAnsi="Times New Roman"/>
          <w:sz w:val="18"/>
          <w:szCs w:val="18"/>
          <w:lang w:val="es-ES_tradnl"/>
        </w:rPr>
      </w:pPr>
      <w:r w:rsidRPr="00EF3B69">
        <w:rPr>
          <w:rStyle w:val="Refdenotaalpie"/>
          <w:rFonts w:ascii="Times New Roman" w:hAnsi="Times New Roman"/>
          <w:sz w:val="18"/>
          <w:szCs w:val="18"/>
        </w:rPr>
        <w:footnoteRef/>
      </w:r>
      <w:r w:rsidRPr="00EF3B69">
        <w:rPr>
          <w:rFonts w:ascii="Times New Roman" w:hAnsi="Times New Roman"/>
          <w:sz w:val="18"/>
          <w:szCs w:val="18"/>
        </w:rPr>
        <w:t xml:space="preserve"> Gudiño, Alma, </w:t>
      </w:r>
      <w:hyperlink r:id="rId23" w:history="1">
        <w:r w:rsidRPr="00EF3B69">
          <w:rPr>
            <w:rStyle w:val="Hipervnculo"/>
            <w:rFonts w:ascii="Times New Roman" w:hAnsi="Times New Roman"/>
            <w:sz w:val="18"/>
            <w:szCs w:val="18"/>
          </w:rPr>
          <w:t>“Cifra de desaparecidos en Allende no son 300 sino 28: PGJE de Coahuila”</w:t>
        </w:r>
      </w:hyperlink>
      <w:r w:rsidRPr="00EF3B69">
        <w:rPr>
          <w:rFonts w:ascii="Times New Roman" w:hAnsi="Times New Roman"/>
          <w:sz w:val="18"/>
          <w:szCs w:val="18"/>
        </w:rPr>
        <w:t xml:space="preserve">, </w:t>
      </w:r>
      <w:r w:rsidRPr="00EF3B69">
        <w:rPr>
          <w:rFonts w:ascii="Times New Roman" w:hAnsi="Times New Roman"/>
          <w:i/>
          <w:sz w:val="18"/>
          <w:szCs w:val="18"/>
        </w:rPr>
        <w:t>Excelsior</w:t>
      </w:r>
      <w:r w:rsidRPr="00EF3B69">
        <w:rPr>
          <w:rFonts w:ascii="Times New Roman" w:hAnsi="Times New Roman"/>
          <w:sz w:val="18"/>
          <w:szCs w:val="18"/>
        </w:rPr>
        <w:t xml:space="preserve">, 12 de diciembre de 2014; ----, </w:t>
      </w:r>
      <w:hyperlink r:id="rId24" w:anchor=".Vs61bIzhDMI" w:history="1">
        <w:r w:rsidRPr="00EF3B69">
          <w:rPr>
            <w:rStyle w:val="Hipervnculo"/>
            <w:rFonts w:ascii="Times New Roman" w:hAnsi="Times New Roman"/>
            <w:sz w:val="18"/>
            <w:szCs w:val="18"/>
          </w:rPr>
          <w:t>“Coahuila: precisan datos de matanza”</w:t>
        </w:r>
      </w:hyperlink>
      <w:r w:rsidRPr="00EF3B69">
        <w:rPr>
          <w:rFonts w:ascii="Times New Roman" w:hAnsi="Times New Roman"/>
          <w:sz w:val="18"/>
          <w:szCs w:val="18"/>
        </w:rPr>
        <w:t xml:space="preserve">, </w:t>
      </w:r>
      <w:r w:rsidRPr="00EF3B69">
        <w:rPr>
          <w:rFonts w:ascii="Times New Roman" w:hAnsi="Times New Roman"/>
          <w:i/>
          <w:sz w:val="18"/>
          <w:szCs w:val="18"/>
        </w:rPr>
        <w:t>La Silla Rota</w:t>
      </w:r>
      <w:r w:rsidRPr="00EF3B69">
        <w:rPr>
          <w:rFonts w:ascii="Times New Roman" w:hAnsi="Times New Roman"/>
          <w:sz w:val="18"/>
          <w:szCs w:val="18"/>
        </w:rPr>
        <w:t xml:space="preserve">, 9 de diciembre de 2014; ----, </w:t>
      </w:r>
      <w:hyperlink r:id="rId25" w:history="1">
        <w:r w:rsidRPr="00EF3B69">
          <w:rPr>
            <w:rStyle w:val="Hipervnculo"/>
            <w:rFonts w:ascii="Times New Roman" w:hAnsi="Times New Roman"/>
            <w:sz w:val="18"/>
            <w:szCs w:val="18"/>
          </w:rPr>
          <w:t>“¿Y la masacre de 300 personas en Coahuila? Aún no se sabe qué ocurrió, por qué ni quién es responsable”</w:t>
        </w:r>
      </w:hyperlink>
      <w:r w:rsidRPr="00EF3B69">
        <w:rPr>
          <w:rFonts w:ascii="Times New Roman" w:hAnsi="Times New Roman"/>
          <w:sz w:val="18"/>
          <w:szCs w:val="18"/>
        </w:rPr>
        <w:t xml:space="preserve">, </w:t>
      </w:r>
      <w:r w:rsidRPr="00EF3B69">
        <w:rPr>
          <w:rFonts w:ascii="Times New Roman" w:hAnsi="Times New Roman"/>
          <w:i/>
          <w:sz w:val="18"/>
          <w:szCs w:val="18"/>
        </w:rPr>
        <w:t>Emeequis</w:t>
      </w:r>
      <w:r w:rsidRPr="00EF3B69">
        <w:rPr>
          <w:rFonts w:ascii="Times New Roman" w:hAnsi="Times New Roman"/>
          <w:sz w:val="18"/>
          <w:szCs w:val="18"/>
        </w:rPr>
        <w:t xml:space="preserve">, 27 de julio de 2014; ----, </w:t>
      </w:r>
      <w:hyperlink r:id="rId26" w:history="1">
        <w:r w:rsidRPr="00EF3B69">
          <w:rPr>
            <w:rStyle w:val="Hipervnculo"/>
            <w:rFonts w:ascii="Times New Roman" w:hAnsi="Times New Roman"/>
            <w:sz w:val="18"/>
            <w:szCs w:val="18"/>
          </w:rPr>
          <w:t>“Los Zetas y los 300 desaparecidos en la masacre de Allende, Coahuila”</w:t>
        </w:r>
      </w:hyperlink>
      <w:r w:rsidRPr="00EF3B69">
        <w:rPr>
          <w:rFonts w:ascii="Times New Roman" w:hAnsi="Times New Roman"/>
          <w:sz w:val="18"/>
          <w:szCs w:val="18"/>
        </w:rPr>
        <w:t xml:space="preserve">, </w:t>
      </w:r>
      <w:r w:rsidRPr="00EF3B69">
        <w:rPr>
          <w:rFonts w:ascii="Times New Roman" w:hAnsi="Times New Roman"/>
          <w:i/>
          <w:sz w:val="18"/>
          <w:szCs w:val="18"/>
        </w:rPr>
        <w:t>Emeequis</w:t>
      </w:r>
      <w:r w:rsidRPr="00EF3B69">
        <w:rPr>
          <w:rFonts w:ascii="Times New Roman" w:hAnsi="Times New Roman"/>
          <w:sz w:val="18"/>
          <w:szCs w:val="18"/>
        </w:rPr>
        <w:t xml:space="preserve">, 26 de febrero de 2014; Osorno, Diego Enrique, </w:t>
      </w:r>
      <w:hyperlink r:id="rId27" w:history="1">
        <w:r w:rsidRPr="00EF3B69">
          <w:rPr>
            <w:rStyle w:val="Hipervnculo"/>
            <w:rFonts w:ascii="Times New Roman" w:hAnsi="Times New Roman"/>
            <w:sz w:val="18"/>
            <w:szCs w:val="18"/>
          </w:rPr>
          <w:t>“El manantial masacrado”</w:t>
        </w:r>
      </w:hyperlink>
      <w:r w:rsidRPr="00EF3B69">
        <w:rPr>
          <w:rFonts w:ascii="Times New Roman" w:hAnsi="Times New Roman"/>
          <w:sz w:val="18"/>
          <w:szCs w:val="18"/>
        </w:rPr>
        <w:t xml:space="preserve">, </w:t>
      </w:r>
      <w:r w:rsidRPr="00EF3B69">
        <w:rPr>
          <w:rFonts w:ascii="Times New Roman" w:hAnsi="Times New Roman"/>
          <w:i/>
          <w:sz w:val="18"/>
          <w:szCs w:val="18"/>
        </w:rPr>
        <w:t>Vice</w:t>
      </w:r>
      <w:r w:rsidRPr="00EF3B69">
        <w:rPr>
          <w:rFonts w:ascii="Times New Roman" w:hAnsi="Times New Roman"/>
          <w:sz w:val="18"/>
          <w:szCs w:val="18"/>
        </w:rPr>
        <w:t xml:space="preserve">, 19 de septiembre de 2014; Osorno, Diego, </w:t>
      </w:r>
      <w:hyperlink r:id="rId28" w:history="1">
        <w:r w:rsidRPr="00EF3B69">
          <w:rPr>
            <w:rStyle w:val="Hipervnculo"/>
            <w:rFonts w:ascii="Times New Roman" w:hAnsi="Times New Roman"/>
            <w:sz w:val="18"/>
            <w:szCs w:val="18"/>
          </w:rPr>
          <w:t>“La masacre de Allende”</w:t>
        </w:r>
      </w:hyperlink>
      <w:r w:rsidRPr="00EF3B69">
        <w:rPr>
          <w:rFonts w:ascii="Times New Roman" w:hAnsi="Times New Roman"/>
          <w:sz w:val="18"/>
          <w:szCs w:val="18"/>
        </w:rPr>
        <w:t xml:space="preserve">, </w:t>
      </w:r>
      <w:r w:rsidRPr="00EF3B69">
        <w:rPr>
          <w:rFonts w:ascii="Times New Roman" w:hAnsi="Times New Roman"/>
          <w:i/>
          <w:sz w:val="18"/>
          <w:szCs w:val="18"/>
        </w:rPr>
        <w:t>Nuestra Aparente Rendición</w:t>
      </w:r>
      <w:r w:rsidRPr="00EF3B69">
        <w:rPr>
          <w:rFonts w:ascii="Times New Roman" w:hAnsi="Times New Roman"/>
          <w:sz w:val="18"/>
          <w:szCs w:val="18"/>
        </w:rPr>
        <w:t>, 17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676F" w14:textId="77777777" w:rsidR="000F4278" w:rsidRDefault="000F4278" w:rsidP="00593BA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0FA6F8" w14:textId="77777777" w:rsidR="000F4278" w:rsidRDefault="000F4278" w:rsidP="00593BA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5769" w14:textId="77777777" w:rsidR="000F4278" w:rsidRDefault="000F4278" w:rsidP="00593BA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1B97">
      <w:rPr>
        <w:rStyle w:val="Nmerodepgina"/>
        <w:noProof/>
      </w:rPr>
      <w:t>8</w:t>
    </w:r>
    <w:r>
      <w:rPr>
        <w:rStyle w:val="Nmerodepgina"/>
      </w:rPr>
      <w:fldChar w:fldCharType="end"/>
    </w:r>
  </w:p>
  <w:p w14:paraId="1C410B39" w14:textId="77777777" w:rsidR="000F4278" w:rsidRDefault="000F4278" w:rsidP="00593BA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53E"/>
    <w:multiLevelType w:val="hybridMultilevel"/>
    <w:tmpl w:val="CCBE16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B34C50"/>
    <w:multiLevelType w:val="hybridMultilevel"/>
    <w:tmpl w:val="98765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9D10CB"/>
    <w:multiLevelType w:val="hybridMultilevel"/>
    <w:tmpl w:val="E84A06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D0F9F"/>
    <w:multiLevelType w:val="hybridMultilevel"/>
    <w:tmpl w:val="E84A06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C037FD"/>
    <w:multiLevelType w:val="hybridMultilevel"/>
    <w:tmpl w:val="96CED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E5703"/>
    <w:multiLevelType w:val="hybridMultilevel"/>
    <w:tmpl w:val="8E167C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40019D"/>
    <w:multiLevelType w:val="hybridMultilevel"/>
    <w:tmpl w:val="00FAD9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835C0B"/>
    <w:multiLevelType w:val="hybridMultilevel"/>
    <w:tmpl w:val="D668D1D2"/>
    <w:lvl w:ilvl="0" w:tplc="A14C6666">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8">
    <w:nsid w:val="2E1F1FDB"/>
    <w:multiLevelType w:val="hybridMultilevel"/>
    <w:tmpl w:val="030C3D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143E11"/>
    <w:multiLevelType w:val="hybridMultilevel"/>
    <w:tmpl w:val="6284E5AA"/>
    <w:lvl w:ilvl="0" w:tplc="277E7BAE">
      <w:start w:val="22"/>
      <w:numFmt w:val="bullet"/>
      <w:lvlText w:val=""/>
      <w:lvlJc w:val="left"/>
      <w:pPr>
        <w:ind w:left="1060" w:hanging="360"/>
      </w:pPr>
      <w:rPr>
        <w:rFonts w:ascii="Symbol" w:eastAsia="Calibri" w:hAnsi="Symbol"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
    <w:nsid w:val="35220E8A"/>
    <w:multiLevelType w:val="hybridMultilevel"/>
    <w:tmpl w:val="66F43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7968B0"/>
    <w:multiLevelType w:val="multilevel"/>
    <w:tmpl w:val="D9CAC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C14321"/>
    <w:multiLevelType w:val="hybridMultilevel"/>
    <w:tmpl w:val="A652345A"/>
    <w:lvl w:ilvl="0" w:tplc="C48CBF04">
      <w:start w:val="1"/>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695768"/>
    <w:multiLevelType w:val="hybridMultilevel"/>
    <w:tmpl w:val="EFCC157E"/>
    <w:lvl w:ilvl="0" w:tplc="57D28C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0DC6EAE"/>
    <w:multiLevelType w:val="hybridMultilevel"/>
    <w:tmpl w:val="B5A4EA5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0"/>
  </w:num>
  <w:num w:numId="6">
    <w:abstractNumId w:val="6"/>
  </w:num>
  <w:num w:numId="7">
    <w:abstractNumId w:val="8"/>
  </w:num>
  <w:num w:numId="8">
    <w:abstractNumId w:val="13"/>
  </w:num>
  <w:num w:numId="9">
    <w:abstractNumId w:val="7"/>
  </w:num>
  <w:num w:numId="10">
    <w:abstractNumId w:val="4"/>
  </w:num>
  <w:num w:numId="11">
    <w:abstractNumId w:val="2"/>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5A"/>
    <w:rsid w:val="00005773"/>
    <w:rsid w:val="00011608"/>
    <w:rsid w:val="00022F64"/>
    <w:rsid w:val="00026D04"/>
    <w:rsid w:val="00032394"/>
    <w:rsid w:val="000363B4"/>
    <w:rsid w:val="00067C0A"/>
    <w:rsid w:val="00073F39"/>
    <w:rsid w:val="00081752"/>
    <w:rsid w:val="00083D32"/>
    <w:rsid w:val="000904E2"/>
    <w:rsid w:val="000A2B02"/>
    <w:rsid w:val="000A678A"/>
    <w:rsid w:val="000B0CF4"/>
    <w:rsid w:val="000B3F35"/>
    <w:rsid w:val="000B69F7"/>
    <w:rsid w:val="000C2403"/>
    <w:rsid w:val="000C3109"/>
    <w:rsid w:val="000D1D0B"/>
    <w:rsid w:val="000F4278"/>
    <w:rsid w:val="001115AF"/>
    <w:rsid w:val="00114BBF"/>
    <w:rsid w:val="00122DFC"/>
    <w:rsid w:val="0012514C"/>
    <w:rsid w:val="0013027A"/>
    <w:rsid w:val="00130D9F"/>
    <w:rsid w:val="00143148"/>
    <w:rsid w:val="00196A7E"/>
    <w:rsid w:val="001C2B4E"/>
    <w:rsid w:val="001E4B9D"/>
    <w:rsid w:val="00233BC0"/>
    <w:rsid w:val="00240C75"/>
    <w:rsid w:val="00241C6E"/>
    <w:rsid w:val="00246407"/>
    <w:rsid w:val="00253001"/>
    <w:rsid w:val="002A58FA"/>
    <w:rsid w:val="002B0739"/>
    <w:rsid w:val="002C316A"/>
    <w:rsid w:val="002C55C4"/>
    <w:rsid w:val="002D1E4B"/>
    <w:rsid w:val="002E04B8"/>
    <w:rsid w:val="002E2BDA"/>
    <w:rsid w:val="002F6238"/>
    <w:rsid w:val="002F7EB1"/>
    <w:rsid w:val="00314CED"/>
    <w:rsid w:val="003364CB"/>
    <w:rsid w:val="0034569B"/>
    <w:rsid w:val="00345BEF"/>
    <w:rsid w:val="00346C85"/>
    <w:rsid w:val="0035555A"/>
    <w:rsid w:val="00383CBF"/>
    <w:rsid w:val="00384D61"/>
    <w:rsid w:val="00386255"/>
    <w:rsid w:val="00386C31"/>
    <w:rsid w:val="003930C6"/>
    <w:rsid w:val="003A3842"/>
    <w:rsid w:val="003B25F5"/>
    <w:rsid w:val="003B7659"/>
    <w:rsid w:val="003D7995"/>
    <w:rsid w:val="003F0B43"/>
    <w:rsid w:val="003F7A89"/>
    <w:rsid w:val="004210BD"/>
    <w:rsid w:val="00421260"/>
    <w:rsid w:val="004349C0"/>
    <w:rsid w:val="004413EA"/>
    <w:rsid w:val="00476B0B"/>
    <w:rsid w:val="00486E2B"/>
    <w:rsid w:val="00494CEA"/>
    <w:rsid w:val="004B3144"/>
    <w:rsid w:val="004C7A4A"/>
    <w:rsid w:val="004E0D8E"/>
    <w:rsid w:val="004E32F3"/>
    <w:rsid w:val="004E3E98"/>
    <w:rsid w:val="004E63E8"/>
    <w:rsid w:val="004F32CE"/>
    <w:rsid w:val="00517E00"/>
    <w:rsid w:val="00520D6D"/>
    <w:rsid w:val="0053449D"/>
    <w:rsid w:val="005376DD"/>
    <w:rsid w:val="005667EB"/>
    <w:rsid w:val="00566CD1"/>
    <w:rsid w:val="0058679D"/>
    <w:rsid w:val="00593BA5"/>
    <w:rsid w:val="0059492F"/>
    <w:rsid w:val="005A016B"/>
    <w:rsid w:val="005A5E1E"/>
    <w:rsid w:val="005E0F2D"/>
    <w:rsid w:val="005E410C"/>
    <w:rsid w:val="005E72DC"/>
    <w:rsid w:val="005F1FCE"/>
    <w:rsid w:val="006446B0"/>
    <w:rsid w:val="0065289A"/>
    <w:rsid w:val="006623ED"/>
    <w:rsid w:val="00671912"/>
    <w:rsid w:val="00672F65"/>
    <w:rsid w:val="006816CD"/>
    <w:rsid w:val="00690E24"/>
    <w:rsid w:val="00693566"/>
    <w:rsid w:val="00695B23"/>
    <w:rsid w:val="00703A85"/>
    <w:rsid w:val="00716202"/>
    <w:rsid w:val="00720517"/>
    <w:rsid w:val="00730CEC"/>
    <w:rsid w:val="0073130F"/>
    <w:rsid w:val="00787EDE"/>
    <w:rsid w:val="007A11CF"/>
    <w:rsid w:val="007B7539"/>
    <w:rsid w:val="007D3ADC"/>
    <w:rsid w:val="007D4D6A"/>
    <w:rsid w:val="00826FA5"/>
    <w:rsid w:val="0083344F"/>
    <w:rsid w:val="008334DC"/>
    <w:rsid w:val="00853C84"/>
    <w:rsid w:val="00867958"/>
    <w:rsid w:val="00870D02"/>
    <w:rsid w:val="00872286"/>
    <w:rsid w:val="008811A4"/>
    <w:rsid w:val="0088382E"/>
    <w:rsid w:val="00884F30"/>
    <w:rsid w:val="00893DB7"/>
    <w:rsid w:val="00894507"/>
    <w:rsid w:val="008A4D62"/>
    <w:rsid w:val="008A7994"/>
    <w:rsid w:val="008B7039"/>
    <w:rsid w:val="008D06C8"/>
    <w:rsid w:val="008E2C0E"/>
    <w:rsid w:val="008F0C54"/>
    <w:rsid w:val="008F7E75"/>
    <w:rsid w:val="009146CC"/>
    <w:rsid w:val="00951B97"/>
    <w:rsid w:val="00953E0C"/>
    <w:rsid w:val="009654A7"/>
    <w:rsid w:val="009716C0"/>
    <w:rsid w:val="00981EA4"/>
    <w:rsid w:val="0098665F"/>
    <w:rsid w:val="00994C01"/>
    <w:rsid w:val="009D3B95"/>
    <w:rsid w:val="009E0E41"/>
    <w:rsid w:val="009E3A7B"/>
    <w:rsid w:val="009F6A87"/>
    <w:rsid w:val="00A01DC9"/>
    <w:rsid w:val="00A06FD0"/>
    <w:rsid w:val="00A077DC"/>
    <w:rsid w:val="00A45395"/>
    <w:rsid w:val="00A4627C"/>
    <w:rsid w:val="00A54E63"/>
    <w:rsid w:val="00A602A7"/>
    <w:rsid w:val="00A63497"/>
    <w:rsid w:val="00A77A96"/>
    <w:rsid w:val="00A90DB9"/>
    <w:rsid w:val="00A96EF2"/>
    <w:rsid w:val="00AA456B"/>
    <w:rsid w:val="00AA6E11"/>
    <w:rsid w:val="00AC3A71"/>
    <w:rsid w:val="00AD29EC"/>
    <w:rsid w:val="00AF0A94"/>
    <w:rsid w:val="00B00F6E"/>
    <w:rsid w:val="00B11711"/>
    <w:rsid w:val="00B17F1D"/>
    <w:rsid w:val="00B35E3A"/>
    <w:rsid w:val="00B6468A"/>
    <w:rsid w:val="00B65A4D"/>
    <w:rsid w:val="00B66139"/>
    <w:rsid w:val="00B72170"/>
    <w:rsid w:val="00B97027"/>
    <w:rsid w:val="00BC1428"/>
    <w:rsid w:val="00BD1024"/>
    <w:rsid w:val="00BD2320"/>
    <w:rsid w:val="00BD4D83"/>
    <w:rsid w:val="00BD665B"/>
    <w:rsid w:val="00BF576B"/>
    <w:rsid w:val="00BF78DE"/>
    <w:rsid w:val="00C013F6"/>
    <w:rsid w:val="00C0766E"/>
    <w:rsid w:val="00C1571A"/>
    <w:rsid w:val="00C203FF"/>
    <w:rsid w:val="00C206F1"/>
    <w:rsid w:val="00C243CD"/>
    <w:rsid w:val="00C43AB2"/>
    <w:rsid w:val="00C4678C"/>
    <w:rsid w:val="00C50D0B"/>
    <w:rsid w:val="00C50EBB"/>
    <w:rsid w:val="00C53CF0"/>
    <w:rsid w:val="00C75855"/>
    <w:rsid w:val="00C80287"/>
    <w:rsid w:val="00C819F5"/>
    <w:rsid w:val="00C842AA"/>
    <w:rsid w:val="00C905C8"/>
    <w:rsid w:val="00CC6304"/>
    <w:rsid w:val="00CC67B4"/>
    <w:rsid w:val="00CD30FA"/>
    <w:rsid w:val="00CE1035"/>
    <w:rsid w:val="00CE38F3"/>
    <w:rsid w:val="00CF62BE"/>
    <w:rsid w:val="00D04092"/>
    <w:rsid w:val="00D1417D"/>
    <w:rsid w:val="00D20539"/>
    <w:rsid w:val="00D2219E"/>
    <w:rsid w:val="00D265C2"/>
    <w:rsid w:val="00D33ACD"/>
    <w:rsid w:val="00D344A4"/>
    <w:rsid w:val="00D51F52"/>
    <w:rsid w:val="00D67BC6"/>
    <w:rsid w:val="00D97591"/>
    <w:rsid w:val="00DA6B68"/>
    <w:rsid w:val="00DB2818"/>
    <w:rsid w:val="00DD4A51"/>
    <w:rsid w:val="00E077F7"/>
    <w:rsid w:val="00E40236"/>
    <w:rsid w:val="00E40542"/>
    <w:rsid w:val="00E40D93"/>
    <w:rsid w:val="00E44EDD"/>
    <w:rsid w:val="00E4713D"/>
    <w:rsid w:val="00E47B6B"/>
    <w:rsid w:val="00E64A33"/>
    <w:rsid w:val="00E77438"/>
    <w:rsid w:val="00E820A9"/>
    <w:rsid w:val="00E834C3"/>
    <w:rsid w:val="00E90E83"/>
    <w:rsid w:val="00EB6938"/>
    <w:rsid w:val="00ED7C8B"/>
    <w:rsid w:val="00EF3B69"/>
    <w:rsid w:val="00F1196C"/>
    <w:rsid w:val="00F13D4B"/>
    <w:rsid w:val="00F230A8"/>
    <w:rsid w:val="00F24C54"/>
    <w:rsid w:val="00F65216"/>
    <w:rsid w:val="00F751FC"/>
    <w:rsid w:val="00F831DB"/>
    <w:rsid w:val="00F83C33"/>
    <w:rsid w:val="00F93ACD"/>
    <w:rsid w:val="00FA6EF0"/>
    <w:rsid w:val="00FB406E"/>
    <w:rsid w:val="00FF537B"/>
    <w:rsid w:val="00FF65C8"/>
    <w:rsid w:val="00FF79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49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5A"/>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A33"/>
    <w:pPr>
      <w:ind w:left="720"/>
      <w:contextualSpacing/>
    </w:pPr>
  </w:style>
  <w:style w:type="paragraph" w:styleId="Textonotapie">
    <w:name w:val="footnote text"/>
    <w:aliases w:val="footnote text,Char Char,Footnote reference,FA Fu,Footnote Text Char Char Char Char Char,Footnote Text Char Char Char Char,Footnote Text Char Char Char,Texto nota pie Car Car"/>
    <w:basedOn w:val="Normal"/>
    <w:link w:val="TextonotapieCar"/>
    <w:uiPriority w:val="99"/>
    <w:unhideWhenUsed/>
    <w:rsid w:val="00E64A33"/>
    <w:pPr>
      <w:spacing w:after="0" w:line="240" w:lineRule="auto"/>
    </w:pPr>
    <w:rPr>
      <w:sz w:val="20"/>
      <w:szCs w:val="20"/>
    </w:rPr>
  </w:style>
  <w:style w:type="character" w:customStyle="1" w:styleId="TextonotapieCar">
    <w:name w:val="Texto nota pie Car"/>
    <w:aliases w:val="footnote text Car,Char Char Car,Footnote reference Car,FA Fu Car,Footnote Text Char Char Char Char Char Car,Footnote Text Char Char Char Char Car,Footnote Text Char Char Char Car,Texto nota pie Car Car Car"/>
    <w:basedOn w:val="Fuentedeprrafopredeter"/>
    <w:link w:val="Textonotapie"/>
    <w:uiPriority w:val="99"/>
    <w:rsid w:val="00E64A33"/>
    <w:rPr>
      <w:rFonts w:ascii="Calibri" w:eastAsia="Calibri" w:hAnsi="Calibri" w:cs="Times New Roman"/>
      <w:sz w:val="20"/>
      <w:szCs w:val="20"/>
      <w:lang w:val="es-MX" w:eastAsia="en-US"/>
    </w:rPr>
  </w:style>
  <w:style w:type="character" w:styleId="Refdenotaalpie">
    <w:name w:val="footnote reference"/>
    <w:uiPriority w:val="99"/>
    <w:unhideWhenUsed/>
    <w:rsid w:val="00E64A33"/>
    <w:rPr>
      <w:vertAlign w:val="superscript"/>
    </w:rPr>
  </w:style>
  <w:style w:type="paragraph" w:styleId="Encabezado">
    <w:name w:val="header"/>
    <w:basedOn w:val="Normal"/>
    <w:link w:val="EncabezadoCar"/>
    <w:uiPriority w:val="99"/>
    <w:unhideWhenUsed/>
    <w:rsid w:val="001C2B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B4E"/>
    <w:rPr>
      <w:rFonts w:ascii="Calibri" w:eastAsia="Calibri" w:hAnsi="Calibri" w:cs="Times New Roman"/>
      <w:sz w:val="22"/>
      <w:szCs w:val="22"/>
      <w:lang w:val="es-MX" w:eastAsia="en-US"/>
    </w:rPr>
  </w:style>
  <w:style w:type="paragraph" w:styleId="Piedepgina">
    <w:name w:val="footer"/>
    <w:basedOn w:val="Normal"/>
    <w:link w:val="PiedepginaCar"/>
    <w:uiPriority w:val="99"/>
    <w:unhideWhenUsed/>
    <w:rsid w:val="001C2B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B4E"/>
    <w:rPr>
      <w:rFonts w:ascii="Calibri" w:eastAsia="Calibri" w:hAnsi="Calibri" w:cs="Times New Roman"/>
      <w:sz w:val="22"/>
      <w:szCs w:val="22"/>
      <w:lang w:val="es-MX" w:eastAsia="en-US"/>
    </w:rPr>
  </w:style>
  <w:style w:type="character" w:styleId="Hipervnculo">
    <w:name w:val="Hyperlink"/>
    <w:basedOn w:val="Fuentedeprrafopredeter"/>
    <w:uiPriority w:val="99"/>
    <w:unhideWhenUsed/>
    <w:rsid w:val="00CF62BE"/>
    <w:rPr>
      <w:color w:val="0000FF" w:themeColor="hyperlink"/>
      <w:u w:val="single"/>
    </w:rPr>
  </w:style>
  <w:style w:type="character" w:styleId="Hipervnculovisitado">
    <w:name w:val="FollowedHyperlink"/>
    <w:basedOn w:val="Fuentedeprrafopredeter"/>
    <w:uiPriority w:val="99"/>
    <w:semiHidden/>
    <w:unhideWhenUsed/>
    <w:rsid w:val="00F83C33"/>
    <w:rPr>
      <w:color w:val="800080" w:themeColor="followedHyperlink"/>
      <w:u w:val="single"/>
    </w:rPr>
  </w:style>
  <w:style w:type="character" w:styleId="Nmerodepgina">
    <w:name w:val="page number"/>
    <w:basedOn w:val="Fuentedeprrafopredeter"/>
    <w:uiPriority w:val="99"/>
    <w:semiHidden/>
    <w:unhideWhenUsed/>
    <w:rsid w:val="00593BA5"/>
  </w:style>
  <w:style w:type="paragraph" w:styleId="Textodeglobo">
    <w:name w:val="Balloon Text"/>
    <w:basedOn w:val="Normal"/>
    <w:link w:val="TextodegloboCar"/>
    <w:uiPriority w:val="99"/>
    <w:semiHidden/>
    <w:unhideWhenUsed/>
    <w:rsid w:val="008A799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A7994"/>
    <w:rPr>
      <w:rFonts w:ascii="Lucida Grande" w:eastAsia="Calibri" w:hAnsi="Lucida Grande" w:cs="Times New Roman"/>
      <w:sz w:val="18"/>
      <w:szCs w:val="18"/>
      <w:lang w:val="es-MX" w:eastAsia="en-US"/>
    </w:rPr>
  </w:style>
  <w:style w:type="table" w:styleId="Tablaconcuadrcula">
    <w:name w:val="Table Grid"/>
    <w:basedOn w:val="Tablanormal"/>
    <w:uiPriority w:val="59"/>
    <w:rsid w:val="0052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7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5A"/>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A33"/>
    <w:pPr>
      <w:ind w:left="720"/>
      <w:contextualSpacing/>
    </w:pPr>
  </w:style>
  <w:style w:type="paragraph" w:styleId="Textonotapie">
    <w:name w:val="footnote text"/>
    <w:aliases w:val="footnote text,Char Char,Footnote reference,FA Fu,Footnote Text Char Char Char Char Char,Footnote Text Char Char Char Char,Footnote Text Char Char Char,Texto nota pie Car Car"/>
    <w:basedOn w:val="Normal"/>
    <w:link w:val="TextonotapieCar"/>
    <w:uiPriority w:val="99"/>
    <w:unhideWhenUsed/>
    <w:rsid w:val="00E64A33"/>
    <w:pPr>
      <w:spacing w:after="0" w:line="240" w:lineRule="auto"/>
    </w:pPr>
    <w:rPr>
      <w:sz w:val="20"/>
      <w:szCs w:val="20"/>
    </w:rPr>
  </w:style>
  <w:style w:type="character" w:customStyle="1" w:styleId="TextonotapieCar">
    <w:name w:val="Texto nota pie Car"/>
    <w:aliases w:val="footnote text Car,Char Char Car,Footnote reference Car,FA Fu Car,Footnote Text Char Char Char Char Char Car,Footnote Text Char Char Char Char Car,Footnote Text Char Char Char Car,Texto nota pie Car Car Car"/>
    <w:basedOn w:val="Fuentedeprrafopredeter"/>
    <w:link w:val="Textonotapie"/>
    <w:uiPriority w:val="99"/>
    <w:rsid w:val="00E64A33"/>
    <w:rPr>
      <w:rFonts w:ascii="Calibri" w:eastAsia="Calibri" w:hAnsi="Calibri" w:cs="Times New Roman"/>
      <w:sz w:val="20"/>
      <w:szCs w:val="20"/>
      <w:lang w:val="es-MX" w:eastAsia="en-US"/>
    </w:rPr>
  </w:style>
  <w:style w:type="character" w:styleId="Refdenotaalpie">
    <w:name w:val="footnote reference"/>
    <w:uiPriority w:val="99"/>
    <w:unhideWhenUsed/>
    <w:rsid w:val="00E64A33"/>
    <w:rPr>
      <w:vertAlign w:val="superscript"/>
    </w:rPr>
  </w:style>
  <w:style w:type="paragraph" w:styleId="Encabezado">
    <w:name w:val="header"/>
    <w:basedOn w:val="Normal"/>
    <w:link w:val="EncabezadoCar"/>
    <w:uiPriority w:val="99"/>
    <w:unhideWhenUsed/>
    <w:rsid w:val="001C2B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B4E"/>
    <w:rPr>
      <w:rFonts w:ascii="Calibri" w:eastAsia="Calibri" w:hAnsi="Calibri" w:cs="Times New Roman"/>
      <w:sz w:val="22"/>
      <w:szCs w:val="22"/>
      <w:lang w:val="es-MX" w:eastAsia="en-US"/>
    </w:rPr>
  </w:style>
  <w:style w:type="paragraph" w:styleId="Piedepgina">
    <w:name w:val="footer"/>
    <w:basedOn w:val="Normal"/>
    <w:link w:val="PiedepginaCar"/>
    <w:uiPriority w:val="99"/>
    <w:unhideWhenUsed/>
    <w:rsid w:val="001C2B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B4E"/>
    <w:rPr>
      <w:rFonts w:ascii="Calibri" w:eastAsia="Calibri" w:hAnsi="Calibri" w:cs="Times New Roman"/>
      <w:sz w:val="22"/>
      <w:szCs w:val="22"/>
      <w:lang w:val="es-MX" w:eastAsia="en-US"/>
    </w:rPr>
  </w:style>
  <w:style w:type="character" w:styleId="Hipervnculo">
    <w:name w:val="Hyperlink"/>
    <w:basedOn w:val="Fuentedeprrafopredeter"/>
    <w:uiPriority w:val="99"/>
    <w:unhideWhenUsed/>
    <w:rsid w:val="00CF62BE"/>
    <w:rPr>
      <w:color w:val="0000FF" w:themeColor="hyperlink"/>
      <w:u w:val="single"/>
    </w:rPr>
  </w:style>
  <w:style w:type="character" w:styleId="Hipervnculovisitado">
    <w:name w:val="FollowedHyperlink"/>
    <w:basedOn w:val="Fuentedeprrafopredeter"/>
    <w:uiPriority w:val="99"/>
    <w:semiHidden/>
    <w:unhideWhenUsed/>
    <w:rsid w:val="00F83C33"/>
    <w:rPr>
      <w:color w:val="800080" w:themeColor="followedHyperlink"/>
      <w:u w:val="single"/>
    </w:rPr>
  </w:style>
  <w:style w:type="character" w:styleId="Nmerodepgina">
    <w:name w:val="page number"/>
    <w:basedOn w:val="Fuentedeprrafopredeter"/>
    <w:uiPriority w:val="99"/>
    <w:semiHidden/>
    <w:unhideWhenUsed/>
    <w:rsid w:val="00593BA5"/>
  </w:style>
  <w:style w:type="paragraph" w:styleId="Textodeglobo">
    <w:name w:val="Balloon Text"/>
    <w:basedOn w:val="Normal"/>
    <w:link w:val="TextodegloboCar"/>
    <w:uiPriority w:val="99"/>
    <w:semiHidden/>
    <w:unhideWhenUsed/>
    <w:rsid w:val="008A799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A7994"/>
    <w:rPr>
      <w:rFonts w:ascii="Lucida Grande" w:eastAsia="Calibri" w:hAnsi="Lucida Grande" w:cs="Times New Roman"/>
      <w:sz w:val="18"/>
      <w:szCs w:val="18"/>
      <w:lang w:val="es-MX" w:eastAsia="en-US"/>
    </w:rPr>
  </w:style>
  <w:style w:type="table" w:styleId="Tablaconcuadrcula">
    <w:name w:val="Table Grid"/>
    <w:basedOn w:val="Tablanormal"/>
    <w:uiPriority w:val="59"/>
    <w:rsid w:val="0052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7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167">
      <w:bodyDiv w:val="1"/>
      <w:marLeft w:val="0"/>
      <w:marRight w:val="0"/>
      <w:marTop w:val="0"/>
      <w:marBottom w:val="0"/>
      <w:divBdr>
        <w:top w:val="none" w:sz="0" w:space="0" w:color="auto"/>
        <w:left w:val="none" w:sz="0" w:space="0" w:color="auto"/>
        <w:bottom w:val="none" w:sz="0" w:space="0" w:color="auto"/>
        <w:right w:val="none" w:sz="0" w:space="0" w:color="auto"/>
      </w:divBdr>
    </w:div>
    <w:div w:id="154806165">
      <w:bodyDiv w:val="1"/>
      <w:marLeft w:val="0"/>
      <w:marRight w:val="0"/>
      <w:marTop w:val="0"/>
      <w:marBottom w:val="0"/>
      <w:divBdr>
        <w:top w:val="none" w:sz="0" w:space="0" w:color="auto"/>
        <w:left w:val="none" w:sz="0" w:space="0" w:color="auto"/>
        <w:bottom w:val="none" w:sz="0" w:space="0" w:color="auto"/>
        <w:right w:val="none" w:sz="0" w:space="0" w:color="auto"/>
      </w:divBdr>
    </w:div>
    <w:div w:id="758675775">
      <w:bodyDiv w:val="1"/>
      <w:marLeft w:val="0"/>
      <w:marRight w:val="0"/>
      <w:marTop w:val="0"/>
      <w:marBottom w:val="0"/>
      <w:divBdr>
        <w:top w:val="none" w:sz="0" w:space="0" w:color="auto"/>
        <w:left w:val="none" w:sz="0" w:space="0" w:color="auto"/>
        <w:bottom w:val="none" w:sz="0" w:space="0" w:color="auto"/>
        <w:right w:val="none" w:sz="0" w:space="0" w:color="auto"/>
      </w:divBdr>
    </w:div>
    <w:div w:id="852762509">
      <w:bodyDiv w:val="1"/>
      <w:marLeft w:val="0"/>
      <w:marRight w:val="0"/>
      <w:marTop w:val="0"/>
      <w:marBottom w:val="0"/>
      <w:divBdr>
        <w:top w:val="none" w:sz="0" w:space="0" w:color="auto"/>
        <w:left w:val="none" w:sz="0" w:space="0" w:color="auto"/>
        <w:bottom w:val="none" w:sz="0" w:space="0" w:color="auto"/>
        <w:right w:val="none" w:sz="0" w:space="0" w:color="auto"/>
      </w:divBdr>
    </w:div>
    <w:div w:id="1143738149">
      <w:bodyDiv w:val="1"/>
      <w:marLeft w:val="0"/>
      <w:marRight w:val="0"/>
      <w:marTop w:val="0"/>
      <w:marBottom w:val="0"/>
      <w:divBdr>
        <w:top w:val="none" w:sz="0" w:space="0" w:color="auto"/>
        <w:left w:val="none" w:sz="0" w:space="0" w:color="auto"/>
        <w:bottom w:val="none" w:sz="0" w:space="0" w:color="auto"/>
        <w:right w:val="none" w:sz="0" w:space="0" w:color="auto"/>
      </w:divBdr>
    </w:div>
    <w:div w:id="1305354871">
      <w:bodyDiv w:val="1"/>
      <w:marLeft w:val="0"/>
      <w:marRight w:val="0"/>
      <w:marTop w:val="0"/>
      <w:marBottom w:val="0"/>
      <w:divBdr>
        <w:top w:val="none" w:sz="0" w:space="0" w:color="auto"/>
        <w:left w:val="none" w:sz="0" w:space="0" w:color="auto"/>
        <w:bottom w:val="none" w:sz="0" w:space="0" w:color="auto"/>
        <w:right w:val="none" w:sz="0" w:space="0" w:color="auto"/>
      </w:divBdr>
    </w:div>
    <w:div w:id="1532373754">
      <w:bodyDiv w:val="1"/>
      <w:marLeft w:val="0"/>
      <w:marRight w:val="0"/>
      <w:marTop w:val="0"/>
      <w:marBottom w:val="0"/>
      <w:divBdr>
        <w:top w:val="none" w:sz="0" w:space="0" w:color="auto"/>
        <w:left w:val="none" w:sz="0" w:space="0" w:color="auto"/>
        <w:bottom w:val="none" w:sz="0" w:space="0" w:color="auto"/>
        <w:right w:val="none" w:sz="0" w:space="0" w:color="auto"/>
      </w:divBdr>
    </w:div>
    <w:div w:id="1723094335">
      <w:bodyDiv w:val="1"/>
      <w:marLeft w:val="0"/>
      <w:marRight w:val="0"/>
      <w:marTop w:val="0"/>
      <w:marBottom w:val="0"/>
      <w:divBdr>
        <w:top w:val="none" w:sz="0" w:space="0" w:color="auto"/>
        <w:left w:val="none" w:sz="0" w:space="0" w:color="auto"/>
        <w:bottom w:val="none" w:sz="0" w:space="0" w:color="auto"/>
        <w:right w:val="none" w:sz="0" w:space="0" w:color="auto"/>
      </w:divBdr>
    </w:div>
    <w:div w:id="1879313412">
      <w:bodyDiv w:val="1"/>
      <w:marLeft w:val="0"/>
      <w:marRight w:val="0"/>
      <w:marTop w:val="0"/>
      <w:marBottom w:val="0"/>
      <w:divBdr>
        <w:top w:val="none" w:sz="0" w:space="0" w:color="auto"/>
        <w:left w:val="none" w:sz="0" w:space="0" w:color="auto"/>
        <w:bottom w:val="none" w:sz="0" w:space="0" w:color="auto"/>
        <w:right w:val="none" w:sz="0" w:space="0" w:color="auto"/>
      </w:divBdr>
    </w:div>
    <w:div w:id="1923025583">
      <w:bodyDiv w:val="1"/>
      <w:marLeft w:val="0"/>
      <w:marRight w:val="0"/>
      <w:marTop w:val="0"/>
      <w:marBottom w:val="0"/>
      <w:divBdr>
        <w:top w:val="none" w:sz="0" w:space="0" w:color="auto"/>
        <w:left w:val="none" w:sz="0" w:space="0" w:color="auto"/>
        <w:bottom w:val="none" w:sz="0" w:space="0" w:color="auto"/>
        <w:right w:val="none" w:sz="0" w:space="0" w:color="auto"/>
      </w:divBdr>
    </w:div>
    <w:div w:id="2124030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fundacionjusticia.org/4606-2/" TargetMode="External"/><Relationship Id="rId13" Type="http://schemas.openxmlformats.org/officeDocument/2006/relationships/hyperlink" Target="http://docstore.ohchr.org/SelfServices/FilesHandler.ashx?enc=6QkG1d%2fPPRiCAqhKb7yhsq1CB4w%2fT5VRUPDby%2bk4DDFkpOcJEFDoOQKAiWngkbVxs%2bjIJqFC0vvthIIsuNLipMvSnBf%2bUfX0vfwPkMvkvtyGgaelqrdrZOxyqUI38q7w" TargetMode="External"/><Relationship Id="rId18" Type="http://schemas.openxmlformats.org/officeDocument/2006/relationships/hyperlink" Target="http://lasillarota.com/a-tres-anos-de-la-matanza-de-allende-coahuila-precisa-datos" TargetMode="External"/><Relationship Id="rId26" Type="http://schemas.openxmlformats.org/officeDocument/2006/relationships/hyperlink" Target="http://www.m-x.com.mx/2014-02-26/los-zetas-y-los-300-desaparecidos-en-la-masacre-en-allende-coahuila/" TargetMode="External"/><Relationship Id="rId3" Type="http://schemas.openxmlformats.org/officeDocument/2006/relationships/hyperlink" Target="http://www.animalpolitico.com/2015/08/a-5-anos-de-masacre-de-72-migrantes-en-san-fernando-caso-sigue-impune-amnistia-internacional/" TargetMode="External"/><Relationship Id="rId21" Type="http://schemas.openxmlformats.org/officeDocument/2006/relationships/hyperlink" Target="http://www.sinembargo.mx/22-10-2015/1527635" TargetMode="External"/><Relationship Id="rId7" Type="http://schemas.openxmlformats.org/officeDocument/2006/relationships/hyperlink" Target="http://www.masde72.periodistasdeapie.org.mx/capitulo1.html" TargetMode="External"/><Relationship Id="rId12" Type="http://schemas.openxmlformats.org/officeDocument/2006/relationships/hyperlink" Target="http://gaceta.diputados.gob.mx/Black/Gaceta/Anteriores/62/2014/sep/20140923-IV/DictamenaD-10.html" TargetMode="External"/><Relationship Id="rId17" Type="http://schemas.openxmlformats.org/officeDocument/2006/relationships/hyperlink" Target="http://www.excelsior.com.mx/nacional/2014/12/09/996752" TargetMode="External"/><Relationship Id="rId25" Type="http://schemas.openxmlformats.org/officeDocument/2006/relationships/hyperlink" Target="http://www.m-x.com.mx/2014-07-27/y-la-masacre-de-300-personas-en-coahuila/" TargetMode="External"/><Relationship Id="rId2" Type="http://schemas.openxmlformats.org/officeDocument/2006/relationships/hyperlink" Target="http://www.masde72.periodistasdeapie.org.mx/capitulo1.html" TargetMode="External"/><Relationship Id="rId16" Type="http://schemas.openxmlformats.org/officeDocument/2006/relationships/hyperlink" Target="http://internacional.elpais.com/internacional/2014/07/05/actualidad/1404594964_269006.html" TargetMode="External"/><Relationship Id="rId20" Type="http://schemas.openxmlformats.org/officeDocument/2006/relationships/hyperlink" Target="http://www.vice.com/es_mx/read/el-manantial-masacrado" TargetMode="External"/><Relationship Id="rId1" Type="http://schemas.openxmlformats.org/officeDocument/2006/relationships/hyperlink" Target="http://fundacionjusticia.org/masacre-de-72-personas-migrantes-en-san-fernando/" TargetMode="External"/><Relationship Id="rId6" Type="http://schemas.openxmlformats.org/officeDocument/2006/relationships/hyperlink" Target="http://www.proceso.com.mx/405419/405419-la-matanza-de-san-fernando-inconsistencias-y-falsedades" TargetMode="External"/><Relationship Id="rId11" Type="http://schemas.openxmlformats.org/officeDocument/2006/relationships/hyperlink" Target="http://www.cndh.org.mx/sites/all/doc/Recomendaciones/2013/Rec_2013_080.pdf" TargetMode="External"/><Relationship Id="rId24" Type="http://schemas.openxmlformats.org/officeDocument/2006/relationships/hyperlink" Target="http://lasillarota.com/a-tres-anos-de-la-matanza-de-allende-coahuila-precisa-datos" TargetMode="External"/><Relationship Id="rId5" Type="http://schemas.openxmlformats.org/officeDocument/2006/relationships/hyperlink" Target="http://www.jornada.unam.mx/2014/12/23/politica/009n1pol" TargetMode="External"/><Relationship Id="rId15" Type="http://schemas.openxmlformats.org/officeDocument/2006/relationships/hyperlink" Target="http://fundacionjusticia.org/masacre-de-72-personas-migrantes-en-san-fernando/" TargetMode="External"/><Relationship Id="rId23" Type="http://schemas.openxmlformats.org/officeDocument/2006/relationships/hyperlink" Target="http://www.excelsior.com.mx/nacional/2014/12/09/996752" TargetMode="External"/><Relationship Id="rId28" Type="http://schemas.openxmlformats.org/officeDocument/2006/relationships/hyperlink" Target="http://nuestraaparenterendicion.com/index.php/blogs-nar/historias-de-nadie/item/2423-la-masacre-de-allende" TargetMode="External"/><Relationship Id="rId10" Type="http://schemas.openxmlformats.org/officeDocument/2006/relationships/hyperlink" Target="http://www.oas.org/es/cidh/migrantes/docs/pdf/informe-migrantes-mexico-2013.pdf" TargetMode="External"/><Relationship Id="rId19" Type="http://schemas.openxmlformats.org/officeDocument/2006/relationships/hyperlink" Target="http://internacional.elpais.com/internacional/2014/07/05/actualidad/1404594964_269006.html" TargetMode="External"/><Relationship Id="rId4" Type="http://schemas.openxmlformats.org/officeDocument/2006/relationships/hyperlink" Target="http://www.animalpolitico.com/2014/12/policias-de-san-fernando-participaron-en-masacre-de-migrantes-pgr-entrega-datos-del-caso/" TargetMode="External"/><Relationship Id="rId9" Type="http://schemas.openxmlformats.org/officeDocument/2006/relationships/hyperlink" Target="http://www.cidh.oas.org/Comunicados/Spanish/2010/86-10sp.htm" TargetMode="External"/><Relationship Id="rId14" Type="http://schemas.openxmlformats.org/officeDocument/2006/relationships/hyperlink" Target="http://fundacionjusticia.org/4606-2/" TargetMode="External"/><Relationship Id="rId22" Type="http://schemas.openxmlformats.org/officeDocument/2006/relationships/hyperlink" Target="http://www.jornada.unam.mx/ultimas/2014/12/09/actuaron-ex-servidores-publicos-en-desaparicion-de-personas-de-2011-en-coahuila-pgje-8408.html" TargetMode="External"/><Relationship Id="rId27" Type="http://schemas.openxmlformats.org/officeDocument/2006/relationships/hyperlink" Target="http://www.vice.com/es_mx/read/el-manantial-masacr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002C85AAC8954D85B69762B6A7FE7E" ma:contentTypeVersion="12" ma:contentTypeDescription="Crear nuevo documento." ma:contentTypeScope="" ma:versionID="57dfb10ae9aef8566c313a330ecb37e6">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e87a6ed3c2157768f676e56e4850cc1f"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84212-0EA2-4157-A5EF-C34F080E3163}"/>
</file>

<file path=customXml/itemProps2.xml><?xml version="1.0" encoding="utf-8"?>
<ds:datastoreItem xmlns:ds="http://schemas.openxmlformats.org/officeDocument/2006/customXml" ds:itemID="{AC9B3748-E461-4A4D-88AE-EDEA7AB8791C}"/>
</file>

<file path=customXml/itemProps3.xml><?xml version="1.0" encoding="utf-8"?>
<ds:datastoreItem xmlns:ds="http://schemas.openxmlformats.org/officeDocument/2006/customXml" ds:itemID="{270543F1-D935-4F6F-B89D-A08973B49654}"/>
</file>

<file path=docProps/app.xml><?xml version="1.0" encoding="utf-8"?>
<Properties xmlns="http://schemas.openxmlformats.org/officeDocument/2006/extended-properties" xmlns:vt="http://schemas.openxmlformats.org/officeDocument/2006/docPropsVTypes">
  <Template>Normal</Template>
  <TotalTime>255</TotalTime>
  <Pages>12</Pages>
  <Words>2544</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Sanchez</dc:creator>
  <cp:lastModifiedBy>Manuel Ernesto Pérez Aguirre</cp:lastModifiedBy>
  <cp:revision>46</cp:revision>
  <cp:lastPrinted>2016-03-02T11:31:00Z</cp:lastPrinted>
  <dcterms:created xsi:type="dcterms:W3CDTF">2016-03-09T09:20:00Z</dcterms:created>
  <dcterms:modified xsi:type="dcterms:W3CDTF">2016-03-09T21:07:00Z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